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RICE BRAN OIL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2,208,600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$2,208,600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$2,208,600</w:t>
            </w:r>
          </w:p>
        </w:tc>
      </w:tr>
    </w:tbl>
    <w:p>
      <w:pPr>
        <w:spacing w:before="120"/>
      </w:pPr>
      <w:r>
        <w:t>Malaysia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$750,924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66%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$485,892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$485,892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$485,892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$2,208,600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Malaysia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100% → 34% = 66.0%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Southeast Asia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65–75%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25–35%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Lower raw material input costs + scaling extraction infrastructure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$26,503 – $66,258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Industrial scale processing + pricing leverage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$26,503 – $66,258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$26,503 – $66,258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$79,509 – $198,774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$79,509 – $198,774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$33,129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155% – 425%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$293,742 – $651,537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Malaysia reliance by 66%</w:t>
      </w:r>
    </w:p>
    <w:p>
      <w:pPr>
        <w:pStyle w:val="ListBullet"/>
      </w:pPr>
      <w:r>
        <w:t>Add 3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~25%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India, China, Mexico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