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PROCUREMENT PROCUREMENT DIVERSIFICATION</w:t>
      </w:r>
    </w:p>
    <w:p>
      <w:pPr>
        <w:jc w:val="center"/>
      </w:pPr>
      <w:r>
        <w:rPr>
          <w:i/>
          <w:sz w:val="22"/>
        </w:rPr>
        <w:t>Supplier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2025: USD 0</w:t>
      </w:r>
    </w:p>
    <w:p/>
    <w:p>
      <w:pPr>
        <w:pStyle w:val="Heading2"/>
      </w:pPr>
      <w:r>
        <w:rPr>
          <w:color w:val="003366"/>
        </w:rPr>
        <w:t>CURRENT STATE – SUPPLIER CONCENTRATION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2025 Original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Primary Supplier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Supplier Location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Multiple Regions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Spend Share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90% = USD 0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Current Procurement Buying from Supplier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Alternate Supplier for Procurement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None active today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Key Risk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Supply chain risk</w:t>
            </w:r>
          </w:p>
        </w:tc>
      </w:tr>
    </w:tbl>
    <w:p/>
    <w:p>
      <w:pPr>
        <w:pStyle w:val="Heading3"/>
      </w:pPr>
      <w:r>
        <w:rPr>
          <w:color w:val="003366"/>
        </w:rPr>
        <w:t>OVERALL RISK STATEMENT</w:t>
      </w:r>
    </w:p>
    <w:p/>
    <w:p>
      <w:pPr>
        <w:pStyle w:val="Heading2"/>
      </w:pPr>
      <w:r>
        <w:rPr>
          <w:color w:val="003366"/>
        </w:rPr>
        <w:t>SUPPLIER SHARE REDUCTION IMPACT (TARGET STATE)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Supplier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Share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 Cap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 in Concentration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Primary Supplier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62%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90% → 62%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Alternate Supplier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38%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Enables supplier competition + fallback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2025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Net 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Primary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58–63%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27–32%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PROJECTION FROM ADDING ALTERNATE SUPPLIER INTO PROCUREMENT PROCUREMENT</w:t>
      </w:r>
    </w:p>
    <w:p/>
    <w:p>
      <w:pPr>
        <w:pStyle w:val="Heading2"/>
      </w:pPr>
      <w:r>
        <w:rPr>
          <w:color w:val="003366"/>
        </w:rPr>
        <w:t>STRATEGIC OUTCOME</w:t>
      </w:r>
    </w:p>
    <w:p/>
    <w:p>
      <w:pPr>
        <w:pStyle w:val="Heading2"/>
      </w:pPr>
      <w:r>
        <w:rPr>
          <w:color w:val="003366"/>
        </w:rPr>
        <w:t>NEXT STEPS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