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SCAFFOLDING DIVERSIFICATION</w:t>
      </w:r>
    </w:p>
    <w:p>
      <w:pPr>
        <w:jc w:val="center"/>
      </w:pPr>
      <w:r>
        <w:rPr>
          <w:i/>
          <w:sz w:val="22"/>
        </w:rPr>
        <w:t>Supplier Concentration Analysis &amp; Diversification Strategy</w:t>
      </w:r>
    </w:p>
    <w:p>
      <w:pPr>
        <w:jc w:val="center"/>
      </w:pPr>
      <w:r>
        <w:rPr>
          <w:b/>
          <w:sz w:val="24"/>
        </w:rPr>
        <w:t>Total Category Spend 2025: USD 432,000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Layher</w:t>
            </w:r>
          </w:p>
        </w:tc>
      </w:tr>
      <w:tr>
        <w:tc>
          <w:tcPr>
            <w:tcW w:type="dxa" w:w="5040"/>
          </w:tcPr>
          <w:p>
            <w:r>
              <w:rPr>
                <w:sz w:val="20"/>
              </w:rPr>
              <w:t>Supplier Location</w:t>
            </w:r>
          </w:p>
        </w:tc>
        <w:tc>
          <w:tcPr>
            <w:tcW w:type="dxa" w:w="5040"/>
          </w:tcPr>
          <w:p>
            <w:r>
              <w:rPr>
                <w:sz w:val="20"/>
              </w:rPr>
              <w:t>Germany</w:t>
            </w:r>
          </w:p>
        </w:tc>
      </w:tr>
      <w:tr>
        <w:tc>
          <w:tcPr>
            <w:tcW w:type="dxa" w:w="5040"/>
          </w:tcPr>
          <w:p>
            <w:r>
              <w:rPr>
                <w:sz w:val="20"/>
              </w:rPr>
              <w:t>Spend Share</w:t>
            </w:r>
          </w:p>
        </w:tc>
        <w:tc>
          <w:tcPr>
            <w:tcW w:type="dxa" w:w="5040"/>
          </w:tcPr>
          <w:p>
            <w:r>
              <w:rPr>
                <w:sz w:val="20"/>
              </w:rPr>
              <w:t>100% = USD 432,000</w:t>
            </w:r>
          </w:p>
        </w:tc>
      </w:tr>
      <w:tr>
        <w:tc>
          <w:tcPr>
            <w:tcW w:type="dxa" w:w="5040"/>
          </w:tcPr>
          <w:p>
            <w:r>
              <w:rPr>
                <w:sz w:val="20"/>
              </w:rPr>
              <w:t>Current Scaffolding Buying from Supplier</w:t>
            </w:r>
          </w:p>
        </w:tc>
        <w:tc>
          <w:tcPr>
            <w:tcW w:type="dxa" w:w="5040"/>
          </w:tcPr>
          <w:p>
            <w:r>
              <w:rPr>
                <w:sz w:val="20"/>
              </w:rPr>
              <w:t>Yes</w:t>
            </w:r>
          </w:p>
        </w:tc>
      </w:tr>
      <w:tr>
        <w:tc>
          <w:tcPr>
            <w:tcW w:type="dxa" w:w="5040"/>
          </w:tcPr>
          <w:p>
            <w:r>
              <w:rPr>
                <w:sz w:val="20"/>
              </w:rPr>
              <w:t>Alternate Supplier for Scaffolding</w:t>
            </w:r>
          </w:p>
        </w:tc>
        <w:tc>
          <w:tcPr>
            <w:tcW w:type="dxa" w:w="5040"/>
          </w:tcPr>
          <w:p>
            <w:r>
              <w:rPr>
                <w:sz w:val="20"/>
              </w:rPr>
              <w:t>Caterpillar Construction</w:t>
            </w:r>
          </w:p>
        </w:tc>
      </w:tr>
      <w:tr>
        <w:tc>
          <w:tcPr>
            <w:tcW w:type="dxa" w:w="5040"/>
          </w:tcPr>
          <w:p>
            <w:r>
              <w:rPr>
                <w:sz w:val="20"/>
              </w:rPr>
              <w:t>Key Risk</w:t>
            </w:r>
          </w:p>
        </w:tc>
        <w:tc>
          <w:tcPr>
            <w:tcW w:type="dxa" w:w="5040"/>
          </w:tcPr>
          <w:p>
            <w:r>
              <w:rPr>
                <w:sz w:val="20"/>
              </w:rPr>
              <w:t>Extreme single-supplier lock-in and Europe supply corridor dependency</w:t>
            </w:r>
          </w:p>
        </w:tc>
      </w:tr>
    </w:tbl>
    <w:p/>
    <w:p>
      <w:pPr>
        <w:pStyle w:val="Heading3"/>
      </w:pPr>
      <w:r>
        <w:rPr>
          <w:color w:val="003366"/>
        </w:rPr>
        <w:t>OVERALL RISK STATEMENT</w:t>
      </w:r>
    </w:p>
    <w:p>
      <w:pPr>
        <w:spacing w:after="240"/>
      </w:pPr>
      <w:r>
        <w:t xml:space="preserve">Our current scaffolding procurement is sourced entirely from Layher, representing 100% of the total category spend (USD 432,000 in 2025). All suppliers operate from Germany. We currently do not source scaffolding from Caterpillar Construction, an already approved Construction Equipment supplier in our system with operational presence across USA, Liechtenstein, Germany, Japan. </w:t>
        <w:br/>
        <w:br/>
        <w:t>This creates both a critical single-supplier dependency risk and a correlated geographic concentration risk. It is recommended to activate scaffolding with Caterpillar Construction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Layher</w:t>
            </w:r>
          </w:p>
        </w:tc>
        <w:tc>
          <w:tcPr>
            <w:tcW w:type="dxa" w:w="2520"/>
          </w:tcPr>
          <w:p>
            <w:r>
              <w:rPr>
                <w:sz w:val="20"/>
              </w:rPr>
              <w:t>100%</w:t>
            </w:r>
          </w:p>
        </w:tc>
        <w:tc>
          <w:tcPr>
            <w:tcW w:type="dxa" w:w="2520"/>
          </w:tcPr>
          <w:p>
            <w:r>
              <w:rPr>
                <w:sz w:val="20"/>
              </w:rPr>
              <w:t>60%</w:t>
            </w:r>
          </w:p>
        </w:tc>
        <w:tc>
          <w:tcPr>
            <w:tcW w:type="dxa" w:w="2520"/>
          </w:tcPr>
          <w:p>
            <w:r>
              <w:rPr>
                <w:sz w:val="20"/>
              </w:rPr>
              <w:t>100% → 60% = 40.0% reduction</w:t>
            </w:r>
          </w:p>
        </w:tc>
      </w:tr>
      <w:tr>
        <w:tc>
          <w:tcPr>
            <w:tcW w:type="dxa" w:w="2520"/>
          </w:tcPr>
          <w:p>
            <w:r>
              <w:rPr>
                <w:sz w:val="20"/>
              </w:rPr>
              <w:t>Caterpillar Construction</w:t>
            </w:r>
          </w:p>
        </w:tc>
        <w:tc>
          <w:tcPr>
            <w:tcW w:type="dxa" w:w="2520"/>
          </w:tcPr>
          <w:p>
            <w:r>
              <w:rPr>
                <w:sz w:val="20"/>
              </w:rPr>
              <w:t>0%</w:t>
            </w:r>
          </w:p>
        </w:tc>
        <w:tc>
          <w:tcPr>
            <w:tcW w:type="dxa" w:w="2520"/>
          </w:tcPr>
          <w:p>
            <w:r>
              <w:rPr>
                <w:sz w:val="20"/>
              </w:rPr>
              <w:t>40%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European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CATERPILLAR CONSTRUCTION INTO SCAFFOLDING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Caterpillar Construction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USA</w:t>
            </w:r>
          </w:p>
        </w:tc>
        <w:tc>
          <w:tcPr>
            <w:tcW w:type="dxa" w:w="3360"/>
          </w:tcPr>
          <w:p>
            <w:r>
              <w:rPr>
                <w:sz w:val="20"/>
              </w:rPr>
              <w:t>Quality assurance + reduced risk</w:t>
            </w:r>
          </w:p>
        </w:tc>
        <w:tc>
          <w:tcPr>
            <w:tcW w:type="dxa" w:w="3360"/>
          </w:tcPr>
          <w:p>
            <w:r>
              <w:rPr>
                <w:sz w:val="20"/>
              </w:rPr>
              <w:t>$5,184 – $11,664</w:t>
            </w:r>
          </w:p>
        </w:tc>
      </w:tr>
      <w:tr>
        <w:tc>
          <w:tcPr>
            <w:tcW w:type="dxa" w:w="3360"/>
          </w:tcPr>
          <w:p>
            <w:r>
              <w:rPr>
                <w:sz w:val="20"/>
              </w:rPr>
              <w:t>Liechtenstein</w:t>
            </w:r>
          </w:p>
        </w:tc>
        <w:tc>
          <w:tcPr>
            <w:tcW w:type="dxa" w:w="3360"/>
          </w:tcPr>
          <w:p>
            <w:r>
              <w:rPr>
                <w:sz w:val="20"/>
              </w:rPr>
              <w:t>Diversification benefits + competitive pricing in Liechtenstein</w:t>
            </w:r>
          </w:p>
        </w:tc>
        <w:tc>
          <w:tcPr>
            <w:tcW w:type="dxa" w:w="3360"/>
          </w:tcPr>
          <w:p>
            <w:r>
              <w:rPr>
                <w:sz w:val="20"/>
              </w:rPr>
              <w:t>$5,184 – $11,664</w:t>
            </w:r>
          </w:p>
        </w:tc>
      </w:tr>
      <w:tr>
        <w:tc>
          <w:tcPr>
            <w:tcW w:type="dxa" w:w="3360"/>
          </w:tcPr>
          <w:p>
            <w:r>
              <w:rPr>
                <w:sz w:val="20"/>
              </w:rPr>
              <w:t>Japan</w:t>
            </w:r>
          </w:p>
        </w:tc>
        <w:tc>
          <w:tcPr>
            <w:tcW w:type="dxa" w:w="3360"/>
          </w:tcPr>
          <w:p>
            <w:r>
              <w:rPr>
                <w:sz w:val="20"/>
              </w:rPr>
              <w:t>Diversification benefits + competitive pricing in Japan</w:t>
            </w:r>
          </w:p>
        </w:tc>
        <w:tc>
          <w:tcPr>
            <w:tcW w:type="dxa" w:w="3360"/>
          </w:tcPr>
          <w:p>
            <w:r>
              <w:rPr>
                <w:sz w:val="20"/>
              </w:rPr>
              <w:t>$5,184 – $11,664</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$15,552 – $34,992</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CRITICAL</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4.0/4.0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$15,552 – $34,992</w:t>
            </w:r>
          </w:p>
        </w:tc>
      </w:tr>
      <w:tr>
        <w:tc>
          <w:tcPr>
            <w:tcW w:type="dxa" w:w="5040"/>
          </w:tcPr>
          <w:p>
            <w:r>
              <w:rPr>
                <w:sz w:val="20"/>
              </w:rPr>
              <w:t>Risk Reduction Value</w:t>
            </w:r>
          </w:p>
        </w:tc>
        <w:tc>
          <w:tcPr>
            <w:tcW w:type="dxa" w:w="5040"/>
          </w:tcPr>
          <w:p>
            <w:r>
              <w:rPr>
                <w:sz w:val="20"/>
              </w:rPr>
              <w:t>$5,940</w:t>
            </w:r>
          </w:p>
        </w:tc>
      </w:tr>
      <w:tr>
        <w:tc>
          <w:tcPr>
            <w:tcW w:type="dxa" w:w="5040"/>
          </w:tcPr>
          <w:p>
            <w:r>
              <w:rPr>
                <w:sz w:val="20"/>
              </w:rPr>
              <w:t>Implementation Cost</w:t>
            </w:r>
          </w:p>
        </w:tc>
        <w:tc>
          <w:tcPr>
            <w:tcW w:type="dxa" w:w="5040"/>
          </w:tcPr>
          <w:p>
            <w:r>
              <w:rPr>
                <w:sz w:val="20"/>
              </w:rPr>
              <w:t>$8,640</w:t>
            </w:r>
          </w:p>
        </w:tc>
      </w:tr>
      <w:tr>
        <w:tc>
          <w:tcPr>
            <w:tcW w:type="dxa" w:w="5040"/>
          </w:tcPr>
          <w:p>
            <w:r>
              <w:rPr>
                <w:sz w:val="20"/>
              </w:rPr>
              <w:t>ROI (First Year)</w:t>
            </w:r>
          </w:p>
        </w:tc>
        <w:tc>
          <w:tcPr>
            <w:tcW w:type="dxa" w:w="5040"/>
          </w:tcPr>
          <w:p>
            <w:r>
              <w:rPr>
                <w:sz w:val="20"/>
              </w:rPr>
              <w:t>149% – 374%</w:t>
            </w:r>
          </w:p>
        </w:tc>
      </w:tr>
      <w:tr>
        <w:tc>
          <w:tcPr>
            <w:tcW w:type="dxa" w:w="5040"/>
          </w:tcPr>
          <w:p>
            <w:r>
              <w:rPr>
                <w:sz w:val="20"/>
              </w:rPr>
              <w:t>Payback Period</w:t>
            </w:r>
          </w:p>
        </w:tc>
        <w:tc>
          <w:tcPr>
            <w:tcW w:type="dxa" w:w="5040"/>
          </w:tcPr>
          <w:p>
            <w:r>
              <w:rPr>
                <w:sz w:val="20"/>
              </w:rPr>
              <w:t>2.5 – 4.8 months</w:t>
            </w:r>
          </w:p>
        </w:tc>
      </w:tr>
      <w:tr>
        <w:tc>
          <w:tcPr>
            <w:tcW w:type="dxa" w:w="5040"/>
          </w:tcPr>
          <w:p>
            <w:r>
              <w:rPr>
                <w:sz w:val="20"/>
              </w:rPr>
              <w:t>3-Year Net Benefit</w:t>
            </w:r>
          </w:p>
        </w:tc>
        <w:tc>
          <w:tcPr>
            <w:tcW w:type="dxa" w:w="5040"/>
          </w:tcPr>
          <w:p>
            <w:r>
              <w:rPr>
                <w:sz w:val="20"/>
              </w:rPr>
              <w:t>$55,836 – $114,156</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Layher</w:t>
            </w:r>
          </w:p>
        </w:tc>
        <w:tc>
          <w:tcPr>
            <w:tcW w:type="dxa" w:w="2016"/>
          </w:tcPr>
          <w:p>
            <w:r>
              <w:rPr>
                <w:sz w:val="20"/>
              </w:rPr>
              <w:t>$432,000</w:t>
            </w:r>
          </w:p>
        </w:tc>
        <w:tc>
          <w:tcPr>
            <w:tcW w:type="dxa" w:w="2016"/>
          </w:tcPr>
          <w:p>
            <w:r>
              <w:rPr>
                <w:sz w:val="20"/>
              </w:rPr>
              <w:t>4.7/5.0</w:t>
            </w:r>
          </w:p>
        </w:tc>
        <w:tc>
          <w:tcPr>
            <w:tcW w:type="dxa" w:w="2016"/>
          </w:tcPr>
          <w:p>
            <w:r>
              <w:rPr>
                <w:sz w:val="20"/>
              </w:rPr>
              <w:t>92%</w:t>
            </w:r>
          </w:p>
        </w:tc>
        <w:tc>
          <w:tcPr>
            <w:tcW w:type="dxa" w:w="2016"/>
          </w:tcPr>
          <w:p>
            <w:r>
              <w:rPr>
                <w:sz w:val="20"/>
              </w:rPr>
              <w:t>8.0/10</w:t>
            </w:r>
          </w:p>
        </w:tc>
      </w:tr>
    </w:tbl>
    <w:p/>
    <w:p>
      <w:pPr>
        <w:pStyle w:val="Heading2"/>
      </w:pPr>
      <w:r>
        <w:rPr>
          <w:color w:val="003366"/>
        </w:rPr>
        <w:t>STRATEGIC OUTCOME</w:t>
      </w:r>
    </w:p>
    <w:p>
      <w:pPr>
        <w:pStyle w:val="ListBullet"/>
      </w:pPr>
      <w:r>
        <w:t>Reduce single-supplier concentration from 100% to 60% in Phase 1</w:t>
      </w:r>
    </w:p>
    <w:p>
      <w:pPr>
        <w:pStyle w:val="ListBullet"/>
      </w:pPr>
      <w:r>
        <w:t>Activate 40% of spend via incumbent supplier (Caterpillar Construction) with multi-region presence</w:t>
      </w:r>
    </w:p>
    <w:p>
      <w:pPr>
        <w:pStyle w:val="ListBullet"/>
      </w:pPr>
      <w:r>
        <w:t>Improve pricing leverage through supplier competition</w:t>
      </w:r>
    </w:p>
    <w:p>
      <w:pPr>
        <w:pStyle w:val="ListBullet"/>
      </w:pPr>
      <w:r>
        <w:t>Reduce european supply corridor risk by ~25%</w:t>
      </w:r>
    </w:p>
    <w:p>
      <w:pPr>
        <w:pStyle w:val="ListBullet"/>
      </w:pPr>
      <w:r>
        <w:t>Achieve estimated annual cost advantage of USD 15,552–34,992 while improving supply continuity</w:t>
      </w:r>
    </w:p>
    <w:p/>
    <w:p>
      <w:pPr>
        <w:pStyle w:val="Heading2"/>
      </w:pPr>
      <w:r>
        <w:rPr>
          <w:color w:val="003366"/>
        </w:rPr>
        <w:t>WHY THIS MATTERS</w:t>
      </w:r>
    </w:p>
    <w:p>
      <w:r>
        <w:t xml:space="preserve">This analysis reveals a critical supplier concentration issue in Scaffolding. With 100% of the $432,000 annual spend flowing through a single supplier, any disruption—whether from production issues, logistics failures, geopolitical events, or commercial disputes—would result in complete supply chain failure.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$15,552 to $34,992 in annual cost savings, representing a 149%-374% ROI on the estimated $8,640 implementation investment.</w:t>
        <w:br/>
        <w:br/>
        <w:t>2. RISK MITIGATION: Current risk level is rated CRITICAL. Reducing concentration by 40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(CRITICAL): At 100% concentration, a single supplier controls the vast majority of supply. Industry best practice recommends no single supplier exceeds 30%. Current state exceeds this threshold by 3x.</w:t>
        <w:br/>
        <w:br/>
        <w:t>• GEOGRAPHIC RISK (HIGH): 100% of spend is concentrated in Germany. This exposes the supply chain to regional disruptions including: natural disasters, political instability, trade policy changes, and logistics bottlenecks.</w:t>
        <w:br/>
        <w:br/>
        <w:t>• DIVERSITY RISK (CRITICAL): Only 1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ACTIVATE CATERPILLAR CONSTRUCTION: This supplier is already qualified in our supplier database with proven quality ratings and delivery reliability. Activation requires minimal qualification effort compared to onboarding entirely new suppliers.</w:t>
        <w:br/>
        <w:br/>
        <w:t xml:space="preserve">2. REGIONAL DIVERSIFICATION TO USA, LIECHTENSTEIN: These regions are identified as optimal for Scaffolding based on: </w:t>
        <w:br/>
        <w:t xml:space="preserve">   • USA: Quality assurance + reduced risk</w:t>
        <w:br/>
        <w:t xml:space="preserve">   • Liechtenstein: competitive market conditions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landscape for scaffolding presents a critical business issue due to an extreme single-supplier dependency on Layher, which accounts for 100% of the annual spend, totaling $432,000. This singular reliance not only exposes the organization to significant supply chain risks but also limits our ability to negotiate favorable terms and conditions. The financial magnitude of this dependency is substantial, as any disruption in Layher's supply chain could directly impact our operations, leading to potential project delays and increased costs.</w:t>
        <w:br/>
        <w:br/>
        <w:t>Such concentration is problematic for several reasons. Primarily, it poses a severe risk to business continuity, as any unforeseen disruptions—be it logistical challenges, geopolitical tensions, or supplier-specific issues—could halt our access to essential scaffolding materials. Additionally, this dependency diminishes our pricing leverage, as Layher holds the power to dictate terms without competitive pressure. The lack of alternative suppliers also increases our exposure to the Europe supply corridor, further amplifying the risk of regional disruptions affecting our supply chain.</w:t>
        <w:br/>
        <w:br/>
        <w:t>To mitigate these risks, a diversification strategy is imperative. By identifying and onboarding additional suppliers, we can reduce our reliance on Layher and enhance our supply chain resilience. This strategy involves exploring potential suppliers across different regions to ensure a balanced and competitive supplier base. Such diversification will not only safeguard against supply disruptions but also foster competitive pricing, ultimately leading to cost savings.</w:t>
        <w:br/>
        <w:br/>
        <w:t>The projected annual savings from implementing this strategy range from $15,552 to $34,992, with an impressive projected ROI of 149% to 374%. These financial benefits underscore the strategic advantages of diversification, including enhanced negotiation power, improved supply chain stability, and reduced risk exposure. By taking decisive action to diversify our supplier base, we can secure a more robust and cost-effective procurement framework, positioning the organization for sustained operational success.</w:t>
      </w:r>
    </w:p>
    <w:p/>
    <w:p>
      <w:pPr>
        <w:pStyle w:val="Heading2"/>
      </w:pPr>
      <w:r>
        <w:rPr>
          <w:color w:val="003366"/>
        </w:rPr>
        <w:t>🤖 AI-POWERED RISK ANALYSIS</w:t>
      </w:r>
    </w:p>
    <w:p>
      <w:pPr>
        <w:spacing w:after="240"/>
      </w:pPr>
      <w:r>
        <w:t>## ANALYSIS SUMMARY</w:t>
        <w:br/>
        <w:br/>
        <w:t>**Data Source:** Not provided</w:t>
        <w:br/>
        <w:t>**Analysis Date:** [CURRENT_DATE]</w:t>
        <w:br/>
        <w:t>**Category:** Scaffolding</w:t>
        <w:br/>
        <w:br/>
        <w:t>---</w:t>
        <w:br/>
        <w:br/>
        <w:t>## CURRENT RISK EXPOSURE</w:t>
        <w:br/>
        <w:br/>
        <w:t>The current risk exposure in the scaffolding category is critically high, with a total spend at risk of $432,000. This represents a significant portion of the procurement budget, potentially impacting project timelines and financial stability. The critical risk level, with an overall risk score of 4.0 out of 4.0, indicates severe vulnerabilities in the supply chain, geographic concentration, and supplier diversity. Such high exposure can lead to substantial operational disruptions, increased costs, and compromised project delivery if not addressed promptly.</w:t>
        <w:br/>
        <w:br/>
        <w:t>## RULE VIOLATION ANALYSIS</w:t>
        <w:br/>
        <w:br/>
        <w:t>Despite the critical risk levels, there are no recorded rule violations or warnings, resulting in a compliance rate of 0.0%. This suggests a potential gap in the existing procurement rules or their enforcement, as they fail to capture the severity of the current risk exposure. It is imperative to reassess the rule framework to ensure it adequately addresses the critical risks identified, particularly in supply chain resilience and geographic diversification. The absence of violations may indicate that the rules are not stringent enough to flag significant risks, which could lead to unmitigated exposure.</w:t>
        <w:br/>
        <w:br/>
        <w:t>## SCENARIO ANALYSIS</w:t>
        <w:br/>
        <w:br/>
        <w:t>In a realistic disruption scenario, a geopolitical event in a key supplier region could halt the supply of scaffolding materials, delaying construction projects and incurring additional costs for alternative sourcing. Another scenario involves a natural disaster affecting a major supplier's operations, leading to supply shortages and increased prices. Lastly, a supplier's financial instability could result in abrupt contract termination, forcing the company to seek new suppliers at a premium. Each scenario underscores the critical nature of the current risk exposure, with potential impacts including project delays, budget overruns, and reputational damage.</w:t>
        <w:br/>
        <w:br/>
        <w:t>## RISK INTERDEPENDENCIES</w:t>
        <w:br/>
        <w:br/>
        <w:t>Supplier and geographic risks are deeply intertwined, compounding the overall risk exposure. A lack of supplier diversity increases dependency on a limited number of suppliers, often concentrated in specific geographic regions. This concentration heightens vulnerability to regional disruptions, as any adverse event can simultaneously affect multiple suppliers. The compounded risk can lead to cascading failures across the supply chain, amplifying the impact of any single disruption and challenging recovery efforts.</w:t>
        <w:br/>
        <w:br/>
        <w:t>## MITIGATION URGENCY</w:t>
        <w:br/>
        <w:br/>
        <w:t>Immediate action is required to mitigate the identified risks, as delaying interventions could exacerbate the situation. The critical risk level demands urgent diversification of suppliers and geographic regions to reduce dependency and enhance resilience. Proactive measures, such as identifying alternative suppliers and regions, renegotiating contracts, and strengthening compliance frameworks, are essential to safeguard against potential disruptions. Failure to act swiftly could result in significant financial losses, operational setbacks, and diminished competitive advantage.</w:t>
      </w:r>
    </w:p>
    <w:p/>
    <w:p>
      <w:pPr>
        <w:pStyle w:val="Heading2"/>
      </w:pPr>
      <w:r>
        <w:rPr>
          <w:color w:val="003366"/>
        </w:rPr>
        <w:t>🤖 AI-GENERATED STRATEGIC RECOMMENDATIONS</w:t>
      </w:r>
    </w:p>
    <w:p>
      <w:pPr>
        <w:spacing w:after="240"/>
      </w:pPr>
      <w:r>
        <w:t>I'm unable to provide specific recommendations for the scaffolding procurement opportunity without access to the necessary data sources to ensure accuracy and traceability. However, I can outline a general framework based on the information provided. Please provide any relevant data files or specify if you need a general framework.</w:t>
        <w:br/>
        <w:br/>
        <w:t>## STRATEGIC RECOMMENDATIONS</w:t>
        <w:br/>
        <w:br/>
        <w:t>### IMMEDIATE ACTIONS (Week 1-2)</w:t>
        <w:br/>
        <w:br/>
        <w:t>In the first two weeks, the procurement team should focus on supplier qualification. This involves identifying potential suppliers in the USA, Liechtenstein, and Japan, given the projected cost advantages in these regions. The team should conduct a preliminary assessment of each supplier's capabilities, financial stability, and compliance with quality standards. This step is crucial to ensure that the suppliers can meet the project's requirements and contribute to the projected savings. Additionally, initiating contact with these suppliers to gather detailed proposals and pricing will set the foundation for the subsequent phases.</w:t>
        <w:br/>
        <w:br/>
        <w:t>### SHORT-TERM WINS (Month 1-3)</w:t>
        <w:br/>
        <w:br/>
        <w:t>During the first three months, quick wins can be achieved by negotiating pilot contracts with selected suppliers. This phase should focus on leveraging the competitive pricing and diversification benefits offered by suppliers in Liechtenstein and Japan. By securing favorable terms and conditions, the procurement team can achieve immediate cost savings and build momentum for the project. The pilot contracts should be structured to allow flexibility, enabling adjustments based on performance outcomes. This approach not only delivers short-term financial benefits but also establishes a collaborative relationship with suppliers.</w:t>
        <w:br/>
        <w:br/>
        <w:t>### STRATEGIC INITIATIVES (Month 3-6)</w:t>
        <w:br/>
        <w:br/>
        <w:t>From month three to six, the focus should shift to larger transformation efforts, such as scaling up successful pilot contracts. This involves expanding the scope of contracts with high-performing suppliers and exploring additional value-added services they can provide. The procurement team should also consider implementing technology solutions for better contract management and supplier performance tracking. These initiatives will enhance the overall efficiency of the procurement process and ensure sustained cost savings over the long term.</w:t>
        <w:br/>
        <w:br/>
        <w:t>### GOVERNANCE &amp; MONITORING</w:t>
        <w:br/>
        <w:br/>
        <w:t>To track progress and ensure success, a robust governance framework should be established. This includes setting up regular performance review meetings at the end of each phase, with clear metrics and KPIs to evaluate supplier performance and project outcomes. The procurement team should utilize data analytics tools to monitor spend, savings, and supplier compliance in real-time. This proactive approach will enable timely identification of issues and facilitate informed decision-making.</w:t>
        <w:br/>
        <w:br/>
        <w:t>### RISK MITIGATION</w:t>
        <w:br/>
        <w:br/>
        <w:t>Executing the strategy without disrupting operations requires a comprehensive risk mitigation plan. The procurement team should develop contingency plans for potential supply chain disruptions, such as geopolitical risks or supplier insolvency. Diversifying the supplier base across multiple regions, as planned, inherently reduces risk. Additionally, maintaining open communication with suppliers and stakeholders will ensure that any challenges are addressed promptly, minimizing the impact on operations.</w:t>
        <w:br/>
        <w:br/>
        <w:t>### SUCCESS METRICS</w:t>
        <w:br/>
        <w:br/>
        <w:t>The success of the strategy will be measured by several key metrics, including the achievement of projected savings ($15,552 - $34,992), adherence to the implementation timeline, and the realization of the 3-year net benefit ($55,836 - $114,156). Other indicators of success include the reduction in payback period (targeting 2.5 months) and improvements in supplier performance and compliance. Regular reporting on these metrics will provide transparency and accountability, ensuring that the procurement strategy delivers the intended benefits.</w:t>
      </w:r>
    </w:p>
    <w:p/>
    <w:p>
      <w:pPr>
        <w:pStyle w:val="Heading2"/>
      </w:pPr>
      <w:r>
        <w:rPr>
          <w:color w:val="003366"/>
        </w:rPr>
        <w:t>🤖 AI MARKET INTELLIGENCE</w:t>
      </w:r>
    </w:p>
    <w:p>
      <w:pPr>
        <w:spacing w:after="240"/>
      </w:pPr>
      <w:r>
        <w:t>I'm sorry, but I cannot provide market intelligence on scaffolding or construction equipment without specific data sources or references. My role is to analyze procurement spend data and provide recommendations based on the data explicitly provided to me. If you have specific data files or sources, please share them, and I can assist you further. Otherwise, I recommend consulting industry reports or market analysts for detailed insights.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scaffolding with Caterpillar Construction</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