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WIND TURBINES DIVERSIFICATION</w:t>
      </w:r>
    </w:p>
    <w:p>
      <w:pPr>
        <w:jc w:val="center"/>
      </w:pPr>
      <w:r>
        <w:rPr>
          <w:i/>
          <w:sz w:val="22"/>
        </w:rPr>
        <w:t>Supplier Concentration Analysis &amp; Diversification Strategy</w:t>
      </w:r>
    </w:p>
    <w:p>
      <w:pPr>
        <w:jc w:val="center"/>
      </w:pPr>
      <w:r>
        <w:rPr>
          <w:b/>
          <w:sz w:val="24"/>
        </w:rPr>
        <w:t>Total Category Spend 2025: USD 5,562,000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Vestas</w:t>
            </w:r>
          </w:p>
        </w:tc>
      </w:tr>
      <w:tr>
        <w:tc>
          <w:tcPr>
            <w:tcW w:type="dxa" w:w="5040"/>
          </w:tcPr>
          <w:p>
            <w:r>
              <w:rPr>
                <w:sz w:val="20"/>
              </w:rPr>
              <w:t>Supplier Location</w:t>
            </w:r>
          </w:p>
        </w:tc>
        <w:tc>
          <w:tcPr>
            <w:tcW w:type="dxa" w:w="5040"/>
          </w:tcPr>
          <w:p>
            <w:r>
              <w:rPr>
                <w:sz w:val="20"/>
              </w:rPr>
              <w:t>Denmark</w:t>
            </w:r>
          </w:p>
        </w:tc>
      </w:tr>
      <w:tr>
        <w:tc>
          <w:tcPr>
            <w:tcW w:type="dxa" w:w="5040"/>
          </w:tcPr>
          <w:p>
            <w:r>
              <w:rPr>
                <w:sz w:val="20"/>
              </w:rPr>
              <w:t>Spend Share</w:t>
            </w:r>
          </w:p>
        </w:tc>
        <w:tc>
          <w:tcPr>
            <w:tcW w:type="dxa" w:w="5040"/>
          </w:tcPr>
          <w:p>
            <w:r>
              <w:rPr>
                <w:sz w:val="20"/>
              </w:rPr>
              <w:t>36% = USD 1,998,000</w:t>
            </w:r>
          </w:p>
        </w:tc>
      </w:tr>
      <w:tr>
        <w:tc>
          <w:tcPr>
            <w:tcW w:type="dxa" w:w="5040"/>
          </w:tcPr>
          <w:p>
            <w:r>
              <w:rPr>
                <w:sz w:val="20"/>
              </w:rPr>
              <w:t>Current Wind Turbines Buying from Supplier</w:t>
            </w:r>
          </w:p>
        </w:tc>
        <w:tc>
          <w:tcPr>
            <w:tcW w:type="dxa" w:w="5040"/>
          </w:tcPr>
          <w:p>
            <w:r>
              <w:rPr>
                <w:sz w:val="20"/>
              </w:rPr>
              <w:t>Yes</w:t>
            </w:r>
          </w:p>
        </w:tc>
      </w:tr>
      <w:tr>
        <w:tc>
          <w:tcPr>
            <w:tcW w:type="dxa" w:w="5040"/>
          </w:tcPr>
          <w:p>
            <w:r>
              <w:rPr>
                <w:sz w:val="20"/>
              </w:rPr>
              <w:t>Alternate Supplier for Wind Turbines</w:t>
            </w:r>
          </w:p>
        </w:tc>
        <w:tc>
          <w:tcPr>
            <w:tcW w:type="dxa" w:w="5040"/>
          </w:tcPr>
          <w:p>
            <w:r>
              <w:rPr>
                <w:sz w:val="20"/>
              </w:rPr>
              <w:t>Tesla Energy</w:t>
            </w:r>
          </w:p>
        </w:tc>
      </w:tr>
      <w:tr>
        <w:tc>
          <w:tcPr>
            <w:tcW w:type="dxa" w:w="5040"/>
          </w:tcPr>
          <w:p>
            <w:r>
              <w:rPr>
                <w:sz w:val="20"/>
              </w:rPr>
              <w:t>Key Risk</w:t>
            </w:r>
          </w:p>
        </w:tc>
        <w:tc>
          <w:tcPr>
            <w:tcW w:type="dxa" w:w="5040"/>
          </w:tcPr>
          <w:p>
            <w:r>
              <w:rPr>
                <w:sz w:val="20"/>
              </w:rPr>
              <w:t>Moderate concentration in Europe with 3 suppliers</w:t>
            </w:r>
          </w:p>
        </w:tc>
      </w:tr>
    </w:tbl>
    <w:p/>
    <w:p>
      <w:pPr>
        <w:pStyle w:val="Heading3"/>
      </w:pPr>
      <w:r>
        <w:rPr>
          <w:color w:val="003366"/>
        </w:rPr>
        <w:t>OVERALL RISK STATEMENT</w:t>
      </w:r>
    </w:p>
    <w:p>
      <w:pPr>
        <w:spacing w:after="240"/>
      </w:pPr>
      <w:r>
        <w:t xml:space="preserve">Our current wind turbines procurement involves 3 suppliers, with Vestas as the dominant supplier at 36% of total category spend (USD 1,998,000 of USD 5,562,000 in 2025). Other suppliers include: Siemens Gamesa (33%), GE Renewable Energy (31%). All suppliers operate from Denmark. We currently do not source wind turbines from Tesla Energy, an already approved Renewable Equipment supplier in our system with operational presence across USA, South Korea, Canada. </w:t>
        <w:br/>
        <w:br/>
        <w:t>This creates a geographic concentration risk. It is recommended to activate wind turbines with Tesla Energy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Vestas</w:t>
            </w:r>
          </w:p>
        </w:tc>
        <w:tc>
          <w:tcPr>
            <w:tcW w:type="dxa" w:w="2520"/>
          </w:tcPr>
          <w:p>
            <w:r>
              <w:rPr>
                <w:sz w:val="20"/>
              </w:rPr>
              <w:t>36%</w:t>
            </w:r>
          </w:p>
        </w:tc>
        <w:tc>
          <w:tcPr>
            <w:tcW w:type="dxa" w:w="2520"/>
          </w:tcPr>
          <w:p>
            <w:r>
              <w:rPr>
                <w:sz w:val="20"/>
              </w:rPr>
              <w:t>40%</w:t>
            </w:r>
          </w:p>
        </w:tc>
        <w:tc>
          <w:tcPr>
            <w:tcW w:type="dxa" w:w="2520"/>
          </w:tcPr>
          <w:p>
            <w:r>
              <w:rPr>
                <w:sz w:val="20"/>
              </w:rPr>
              <w:t>36% → 40% = -11.4% reduction</w:t>
            </w:r>
          </w:p>
        </w:tc>
      </w:tr>
      <w:tr>
        <w:tc>
          <w:tcPr>
            <w:tcW w:type="dxa" w:w="2520"/>
          </w:tcPr>
          <w:p>
            <w:r>
              <w:rPr>
                <w:sz w:val="20"/>
              </w:rPr>
              <w:t>Tesla Energy</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European Supply Corridor</w:t>
            </w:r>
          </w:p>
        </w:tc>
        <w:tc>
          <w:tcPr>
            <w:tcW w:type="dxa" w:w="2520"/>
          </w:tcPr>
          <w:p>
            <w:r>
              <w:rPr>
                <w:sz w:val="20"/>
              </w:rPr>
              <w:t>36%</w:t>
            </w:r>
          </w:p>
        </w:tc>
        <w:tc>
          <w:tcPr>
            <w:tcW w:type="dxa" w:w="2520"/>
          </w:tcPr>
          <w:p>
            <w:r>
              <w:rPr>
                <w:sz w:val="20"/>
              </w:rPr>
              <w:t>40–50%</w:t>
            </w:r>
          </w:p>
        </w:tc>
        <w:tc>
          <w:tcPr>
            <w:tcW w:type="dxa" w:w="2520"/>
          </w:tcPr>
          <w:p>
            <w:r>
              <w:rPr>
                <w:sz w:val="20"/>
              </w:rPr>
              <w:t>-14–-4%</w:t>
            </w:r>
          </w:p>
        </w:tc>
      </w:tr>
    </w:tbl>
    <w:p/>
    <w:p>
      <w:pPr>
        <w:pStyle w:val="Heading2"/>
      </w:pPr>
      <w:r>
        <w:rPr>
          <w:color w:val="003366"/>
        </w:rPr>
        <w:t>COST ADVANTAGE PROJECTION FROM ADDING TESLA ENERGY INTO WIND TURBINES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Tesla Energy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USA</w:t>
            </w:r>
          </w:p>
        </w:tc>
        <w:tc>
          <w:tcPr>
            <w:tcW w:type="dxa" w:w="3360"/>
          </w:tcPr>
          <w:p>
            <w:r>
              <w:rPr>
                <w:sz w:val="20"/>
              </w:rPr>
              <w:t>Quality assurance + reduced risk</w:t>
            </w:r>
          </w:p>
        </w:tc>
        <w:tc>
          <w:tcPr>
            <w:tcW w:type="dxa" w:w="3360"/>
          </w:tcPr>
          <w:p>
            <w:r>
              <w:rPr>
                <w:sz w:val="20"/>
              </w:rPr>
              <w:t>$66,744 – $150,174</w:t>
            </w:r>
          </w:p>
        </w:tc>
      </w:tr>
      <w:tr>
        <w:tc>
          <w:tcPr>
            <w:tcW w:type="dxa" w:w="3360"/>
          </w:tcPr>
          <w:p>
            <w:r>
              <w:rPr>
                <w:sz w:val="20"/>
              </w:rPr>
              <w:t>South Korea</w:t>
            </w:r>
          </w:p>
        </w:tc>
        <w:tc>
          <w:tcPr>
            <w:tcW w:type="dxa" w:w="3360"/>
          </w:tcPr>
          <w:p>
            <w:r>
              <w:rPr>
                <w:sz w:val="20"/>
              </w:rPr>
              <w:t>Diversification benefits + competitive pricing in South Korea</w:t>
            </w:r>
          </w:p>
        </w:tc>
        <w:tc>
          <w:tcPr>
            <w:tcW w:type="dxa" w:w="3360"/>
          </w:tcPr>
          <w:p>
            <w:r>
              <w:rPr>
                <w:sz w:val="20"/>
              </w:rPr>
              <w:t>$66,744 – $150,174</w:t>
            </w:r>
          </w:p>
        </w:tc>
      </w:tr>
      <w:tr>
        <w:tc>
          <w:tcPr>
            <w:tcW w:type="dxa" w:w="3360"/>
          </w:tcPr>
          <w:p>
            <w:r>
              <w:rPr>
                <w:sz w:val="20"/>
              </w:rPr>
              <w:t>Canada</w:t>
            </w:r>
          </w:p>
        </w:tc>
        <w:tc>
          <w:tcPr>
            <w:tcW w:type="dxa" w:w="3360"/>
          </w:tcPr>
          <w:p>
            <w:r>
              <w:rPr>
                <w:sz w:val="20"/>
              </w:rPr>
              <w:t>Diversification benefits + competitive pricing in Canada</w:t>
            </w:r>
          </w:p>
        </w:tc>
        <w:tc>
          <w:tcPr>
            <w:tcW w:type="dxa" w:w="3360"/>
          </w:tcPr>
          <w:p>
            <w:r>
              <w:rPr>
                <w:sz w:val="20"/>
              </w:rPr>
              <w:t>$66,744 – $150,174</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$200,232 – $450,522</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2.0/4.0</w:t>
            </w:r>
          </w:p>
        </w:tc>
        <w:tc>
          <w:tcPr>
            <w:tcW w:type="dxa" w:w="3360"/>
          </w:tcPr>
          <w:p>
            <w:r>
              <w:rPr>
                <w:sz w:val="20"/>
              </w:rPr>
              <w:t>MEDIUM</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$200,232 – $450,522</w:t>
            </w:r>
          </w:p>
        </w:tc>
      </w:tr>
      <w:tr>
        <w:tc>
          <w:tcPr>
            <w:tcW w:type="dxa" w:w="5040"/>
          </w:tcPr>
          <w:p>
            <w:r>
              <w:rPr>
                <w:sz w:val="20"/>
              </w:rPr>
              <w:t>Risk Reduction Value</w:t>
            </w:r>
          </w:p>
        </w:tc>
        <w:tc>
          <w:tcPr>
            <w:tcW w:type="dxa" w:w="5040"/>
          </w:tcPr>
          <w:p>
            <w:r>
              <w:rPr>
                <w:sz w:val="20"/>
              </w:rPr>
              <w:t>$-25,307</w:t>
            </w:r>
          </w:p>
        </w:tc>
      </w:tr>
      <w:tr>
        <w:tc>
          <w:tcPr>
            <w:tcW w:type="dxa" w:w="5040"/>
          </w:tcPr>
          <w:p>
            <w:r>
              <w:rPr>
                <w:sz w:val="20"/>
              </w:rPr>
              <w:t>Implementation Cost</w:t>
            </w:r>
          </w:p>
        </w:tc>
        <w:tc>
          <w:tcPr>
            <w:tcW w:type="dxa" w:w="5040"/>
          </w:tcPr>
          <w:p>
            <w:r>
              <w:rPr>
                <w:sz w:val="20"/>
              </w:rPr>
              <w:t>$111,240</w:t>
            </w:r>
          </w:p>
        </w:tc>
      </w:tr>
      <w:tr>
        <w:tc>
          <w:tcPr>
            <w:tcW w:type="dxa" w:w="5040"/>
          </w:tcPr>
          <w:p>
            <w:r>
              <w:rPr>
                <w:sz w:val="20"/>
              </w:rPr>
              <w:t>ROI (First Year)</w:t>
            </w:r>
          </w:p>
        </w:tc>
        <w:tc>
          <w:tcPr>
            <w:tcW w:type="dxa" w:w="5040"/>
          </w:tcPr>
          <w:p>
            <w:r>
              <w:rPr>
                <w:sz w:val="20"/>
              </w:rPr>
              <w:t>57% – 282%</w:t>
            </w:r>
          </w:p>
        </w:tc>
      </w:tr>
      <w:tr>
        <w:tc>
          <w:tcPr>
            <w:tcW w:type="dxa" w:w="5040"/>
          </w:tcPr>
          <w:p>
            <w:r>
              <w:rPr>
                <w:sz w:val="20"/>
              </w:rPr>
              <w:t>Payback Period</w:t>
            </w:r>
          </w:p>
        </w:tc>
        <w:tc>
          <w:tcPr>
            <w:tcW w:type="dxa" w:w="5040"/>
          </w:tcPr>
          <w:p>
            <w:r>
              <w:rPr>
                <w:sz w:val="20"/>
              </w:rPr>
              <w:t>3.1 – 7.6 months</w:t>
            </w:r>
          </w:p>
        </w:tc>
      </w:tr>
      <w:tr>
        <w:tc>
          <w:tcPr>
            <w:tcW w:type="dxa" w:w="5040"/>
          </w:tcPr>
          <w:p>
            <w:r>
              <w:rPr>
                <w:sz w:val="20"/>
              </w:rPr>
              <w:t>3-Year Net Benefit</w:t>
            </w:r>
          </w:p>
        </w:tc>
        <w:tc>
          <w:tcPr>
            <w:tcW w:type="dxa" w:w="5040"/>
          </w:tcPr>
          <w:p>
            <w:r>
              <w:rPr>
                <w:sz w:val="20"/>
              </w:rPr>
              <w:t>$413,535 – $1,164,405</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Vestas</w:t>
            </w:r>
          </w:p>
        </w:tc>
        <w:tc>
          <w:tcPr>
            <w:tcW w:type="dxa" w:w="2016"/>
          </w:tcPr>
          <w:p>
            <w:r>
              <w:rPr>
                <w:sz w:val="20"/>
              </w:rPr>
              <w:t>$1,998,000</w:t>
            </w:r>
          </w:p>
        </w:tc>
        <w:tc>
          <w:tcPr>
            <w:tcW w:type="dxa" w:w="2016"/>
          </w:tcPr>
          <w:p>
            <w:r>
              <w:rPr>
                <w:sz w:val="20"/>
              </w:rPr>
              <w:t>4.8/5.0</w:t>
            </w:r>
          </w:p>
        </w:tc>
        <w:tc>
          <w:tcPr>
            <w:tcW w:type="dxa" w:w="2016"/>
          </w:tcPr>
          <w:p>
            <w:r>
              <w:rPr>
                <w:sz w:val="20"/>
              </w:rPr>
              <w:t>92%</w:t>
            </w:r>
          </w:p>
        </w:tc>
        <w:tc>
          <w:tcPr>
            <w:tcW w:type="dxa" w:w="2016"/>
          </w:tcPr>
          <w:p>
            <w:r>
              <w:rPr>
                <w:sz w:val="20"/>
              </w:rPr>
              <w:t>8.0/10</w:t>
            </w:r>
          </w:p>
        </w:tc>
      </w:tr>
      <w:tr>
        <w:tc>
          <w:tcPr>
            <w:tcW w:type="dxa" w:w="2016"/>
          </w:tcPr>
          <w:p>
            <w:r>
              <w:rPr>
                <w:sz w:val="20"/>
              </w:rPr>
              <w:t>Siemens Gamesa</w:t>
            </w:r>
          </w:p>
        </w:tc>
        <w:tc>
          <w:tcPr>
            <w:tcW w:type="dxa" w:w="2016"/>
          </w:tcPr>
          <w:p>
            <w:r>
              <w:rPr>
                <w:sz w:val="20"/>
              </w:rPr>
              <w:t>$1,857,600</w:t>
            </w:r>
          </w:p>
        </w:tc>
        <w:tc>
          <w:tcPr>
            <w:tcW w:type="dxa" w:w="2016"/>
          </w:tcPr>
          <w:p>
            <w:r>
              <w:rPr>
                <w:sz w:val="20"/>
              </w:rPr>
              <w:t>4.8/5.0</w:t>
            </w:r>
          </w:p>
        </w:tc>
        <w:tc>
          <w:tcPr>
            <w:tcW w:type="dxa" w:w="2016"/>
          </w:tcPr>
          <w:p>
            <w:r>
              <w:rPr>
                <w:sz w:val="20"/>
              </w:rPr>
              <w:t>94%</w:t>
            </w:r>
          </w:p>
        </w:tc>
        <w:tc>
          <w:tcPr>
            <w:tcW w:type="dxa" w:w="2016"/>
          </w:tcPr>
          <w:p>
            <w:r>
              <w:rPr>
                <w:sz w:val="20"/>
              </w:rPr>
              <w:t>8.0/10</w:t>
            </w:r>
          </w:p>
        </w:tc>
      </w:tr>
      <w:tr>
        <w:tc>
          <w:tcPr>
            <w:tcW w:type="dxa" w:w="2016"/>
          </w:tcPr>
          <w:p>
            <w:r>
              <w:rPr>
                <w:sz w:val="20"/>
              </w:rPr>
              <w:t>GE Renewable Energy</w:t>
            </w:r>
          </w:p>
        </w:tc>
        <w:tc>
          <w:tcPr>
            <w:tcW w:type="dxa" w:w="2016"/>
          </w:tcPr>
          <w:p>
            <w:r>
              <w:rPr>
                <w:sz w:val="20"/>
              </w:rPr>
              <w:t>$1,706,400</w:t>
            </w:r>
          </w:p>
        </w:tc>
        <w:tc>
          <w:tcPr>
            <w:tcW w:type="dxa" w:w="2016"/>
          </w:tcPr>
          <w:p>
            <w:r>
              <w:rPr>
                <w:sz w:val="20"/>
              </w:rPr>
              <w:t>4.7/5.0</w:t>
            </w:r>
          </w:p>
        </w:tc>
        <w:tc>
          <w:tcPr>
            <w:tcW w:type="dxa" w:w="2016"/>
          </w:tcPr>
          <w:p>
            <w:r>
              <w:rPr>
                <w:sz w:val="20"/>
              </w:rPr>
              <w:t>90%</w:t>
            </w:r>
          </w:p>
        </w:tc>
        <w:tc>
          <w:tcPr>
            <w:tcW w:type="dxa" w:w="2016"/>
          </w:tcPr>
          <w:p>
            <w:r>
              <w:rPr>
                <w:sz w:val="20"/>
              </w:rPr>
              <w:t>8.0/10</w:t>
            </w:r>
          </w:p>
        </w:tc>
      </w:tr>
    </w:tbl>
    <w:p/>
    <w:p>
      <w:pPr>
        <w:pStyle w:val="Heading2"/>
      </w:pPr>
      <w:r>
        <w:rPr>
          <w:color w:val="003366"/>
        </w:rPr>
        <w:t>STRATEGIC OUTCOME</w:t>
      </w:r>
    </w:p>
    <w:p>
      <w:pPr>
        <w:pStyle w:val="ListBullet"/>
      </w:pPr>
      <w:r>
        <w:t>Reduce single-supplier concentration from 36% to 40% in Phase 1</w:t>
      </w:r>
    </w:p>
    <w:p>
      <w:pPr>
        <w:pStyle w:val="ListBullet"/>
      </w:pPr>
      <w:r>
        <w:t>Activate 10% of spend via incumbent supplier (Tesla Energy) with multi-region presence</w:t>
      </w:r>
    </w:p>
    <w:p>
      <w:pPr>
        <w:pStyle w:val="ListBullet"/>
      </w:pPr>
      <w:r>
        <w:t>Improve pricing leverage through supplier competition</w:t>
      </w:r>
    </w:p>
    <w:p>
      <w:pPr>
        <w:pStyle w:val="ListBullet"/>
      </w:pPr>
      <w:r>
        <w:t>Reduce european supply corridor risk by ~-14%</w:t>
      </w:r>
    </w:p>
    <w:p>
      <w:pPr>
        <w:pStyle w:val="ListBullet"/>
      </w:pPr>
      <w:r>
        <w:t>Achieve estimated annual cost advantage of USD 200,232–450,522 while improving supply continuity</w:t>
      </w:r>
    </w:p>
    <w:p/>
    <w:p>
      <w:pPr>
        <w:pStyle w:val="Heading2"/>
      </w:pPr>
      <w:r>
        <w:rPr>
          <w:color w:val="003366"/>
        </w:rPr>
        <w:t>WHY THIS MATTERS</w:t>
      </w:r>
    </w:p>
    <w:p>
      <w:r>
        <w:t xml:space="preserve">This analysis reveals a moderate supplier concentration issue in Wind Turbines. With 36%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$200,232 to $450,522 in annual cost savings, representing a 57%-282% ROI on the estimated $111,240 implementation investment.</w:t>
        <w:br/>
        <w:br/>
        <w:t>2. RISK MITIGATION: Current risk level is rated MEDIUM. Reducing concentration by -4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36%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ACTIVATE TESLA ENERGY: This supplier is already qualified in our supplier database with proven quality ratings and delivery reliability. Activation requires minimal qualification effort compared to onboarding entirely new suppliers.</w:t>
        <w:br/>
        <w:br/>
        <w:t xml:space="preserve">2. REGIONAL DIVERSIFICATION TO USA, SOUTH KOREA: These regions are identified as optimal for Wind Turbines based on: </w:t>
        <w:br/>
        <w:t xml:space="preserve">   • USA: Quality assurance + reduced risk</w:t>
        <w:br/>
        <w:t xml:space="preserve">   • South Korea: competitive market conditions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procurement analysis for the Wind Turbines category reveals a significant business issue: a moderate supplier concentration risk that could impact our financial performance and operational resilience. With a total annual spend of $5,562,000, the reliance on three key suppliers—Vestas, Siemens Gamesa, and GE Renewable Energy—poses a strategic challenge. Vestas alone accounts for 35.9% of this spend, amounting to $1,998,000, while Siemens Gamesa and GE Renewable Energy contribute 33.4% and 30.7%, respectively. This concentration not only limits our negotiation leverage but also heightens our exposure to supply disruptions and pricing volatility, particularly given the suppliers' shared geographic focus in Europe.</w:t>
        <w:br/>
        <w:br/>
        <w:t>The concentration of procurement spend with these three suppliers is problematic for several reasons. Firstly, it restricts our ability to negotiate favorable terms, as the suppliers hold significant pricing power. Secondly, any disruption in the European supply chain—be it due to geopolitical tensions, regulatory changes, or natural disasters—could severely impact our operations. This lack of diversification increases our vulnerability to supply chain interruptions, which could lead to production delays and financial losses. Ensuring business continuity and maintaining competitive pricing are critical, and the current supplier concentration undermines these objectives.</w:t>
        <w:br/>
        <w:br/>
        <w:t>To mitigate these risks, a strategic diversification plan is recommended. This involves expanding our supplier base beyond the current European-centric focus to include additional suppliers from other regions. By reallocating a portion of our spend to alternative suppliers, we can reduce dependency on any single supplier and region, thereby enhancing our supply chain resilience. This strategy not only spreads risk but also introduces competitive dynamics that can lead to better pricing and terms. The projected annual savings from this diversification range from $200,232 to $450,522, which underscores the financial prudence of this approach.</w:t>
        <w:br/>
        <w:br/>
        <w:t>In conclusion, the recommended diversification strategy is expected to yield a substantial return on investment, projected between 57% and 282%. Beyond the immediate financial benefits, this approach will strengthen our supply chain, enhance our bargaining power, and ensure greater stability in our procurement operations. By proactively addressing the concentration risk, we position ourselves to capitalize on market opportunities while safeguarding against potential disruptions. This strategic initiative aligns with our long-term goals of operational excellence and sustainable growth.</w:t>
      </w:r>
    </w:p>
    <w:p/>
    <w:p>
      <w:pPr>
        <w:pStyle w:val="Heading2"/>
      </w:pPr>
      <w:r>
        <w:rPr>
          <w:color w:val="003366"/>
        </w:rPr>
        <w:t>🤖 AI-POWERED RISK ANALYSIS</w:t>
      </w:r>
    </w:p>
    <w:p>
      <w:pPr>
        <w:spacing w:after="240"/>
      </w:pPr>
      <w:r>
        <w:t>## ANALYSIS SUMMARY</w:t>
        <w:br/>
        <w:br/>
        <w:t>**Data Source:** Not provided</w:t>
        <w:br/>
        <w:t>**Analysis Date:** [CURRENT_DATE]</w:t>
        <w:br/>
        <w:t>**Category:** Wind Turbines</w:t>
        <w:br/>
        <w:br/>
        <w:t>---</w:t>
        <w:br/>
        <w:br/>
        <w:t>## CURRENT RISK EXPOSURE</w:t>
        <w:br/>
        <w:br/>
        <w:t>The total spend at risk for the wind turbines category is $5,562,000. With an overall risk score of 2.0 out of 4.0, the risk level is classified as MEDIUM. This indicates a significant exposure that could impact the business's operational continuity and financial performance. The medium risk level in supply chain, geographic, and supplier diversity suggests that while the current situation is manageable, it is susceptible to disruptions that could lead to increased costs, delays, or even supply shortages. The business impact of maintaining this risk level includes potential cost overruns, missed project deadlines, and reduced competitiveness in the market.</w:t>
        <w:br/>
        <w:br/>
        <w:t>---</w:t>
        <w:br/>
        <w:br/>
        <w:t>## RULE VIOLATION ANALYSIS</w:t>
        <w:br/>
        <w:br/>
        <w:t>Currently, there are no rule violations recorded, with a compliance rate of 0.0%. This indicates that the procurement processes are not aligned with any specific rules or thresholds that might mitigate the identified risks. While no specific procurement rules are violated, the lack of adherence to structured guidelines such as regional concentration limits or supplier diversity thresholds means that the organization may not be proactively managing its risk exposure. This could lead to unforeseen vulnerabilities, especially in the face of market volatility or geopolitical changes.</w:t>
        <w:br/>
        <w:br/>
        <w:t>---</w:t>
        <w:br/>
        <w:br/>
        <w:t>## SCENARIO ANALYSIS</w:t>
        <w:br/>
        <w:br/>
        <w:t>1. **Supply Chain Disruption:** A sudden increase in raw material prices due to geopolitical tensions could elevate costs by 15%, translating to an additional $834,300 in expenses. This scenario would strain budgets and potentially delay project timelines as the company seeks alternative suppliers or renegotiates contracts.</w:t>
        <w:br/>
        <w:br/>
        <w:t>2. **Geographic Risk Escalation:** Natural disasters or political instability in key supplier regions could halt production and delivery, leading to a 30% reduction in supply availability. This would impact project execution and could result in penalties or loss of business, with an estimated financial impact of $1,668,600.</w:t>
        <w:br/>
        <w:br/>
        <w:t>3. **Supplier Diversity Shortfall:** Over-reliance on a limited number of suppliers increases vulnerability to supplier-specific issues such as bankruptcy or quality failures. A disruption affecting a major supplier could lead to a 25% increase in lead times, affecting project schedules and incurring additional costs of approximately $1,390,500.</w:t>
        <w:br/>
        <w:br/>
        <w:t>---</w:t>
        <w:br/>
        <w:br/>
        <w:t>## RISK INTERDEPENDENCIES</w:t>
        <w:br/>
        <w:br/>
        <w:t>Supplier and geographic risks are closely interlinked, compounding the overall risk exposure. A disruption in a key geographic region not only affects the availability of materials but also impacts the supplier's ability to fulfill orders, leading to cascading delays across the supply chain. This interdependency means that a single event can have a ripple effect, amplifying the impact on the business. For instance, a political event in a supplier's region could simultaneously affect multiple suppliers, exacerbating supply shortages and increasing costs.</w:t>
        <w:br/>
        <w:br/>
        <w:t>---</w:t>
        <w:br/>
        <w:br/>
        <w:t>## MITIGATION URGENCY</w:t>
        <w:br/>
        <w:br/>
        <w:t>Immediate action is necessary to mitigate these risks and protect the business from potential disruptions. Delaying risk mitigation efforts could result in significant financial losses and operational challenges. By proactively addressing these risks, the company can enhance its resilience, ensure continuity of supply, and maintain competitive advantage. Implementing diversification strategies, strengthening supplier relationships, and establishing contingency plans are critical steps that need to be prioritized to safeguard against future uncertainties.</w:t>
      </w:r>
    </w:p>
    <w:p/>
    <w:p>
      <w:pPr>
        <w:pStyle w:val="Heading2"/>
      </w:pPr>
      <w:r>
        <w:rPr>
          <w:color w:val="003366"/>
        </w:rPr>
        <w:t>🤖 AI-GENERATED STRATEGIC RECOMMENDATIONS</w:t>
      </w:r>
    </w:p>
    <w:p>
      <w:pPr>
        <w:spacing w:after="240"/>
      </w:pPr>
      <w:r>
        <w:t>I'm unable to provide a strategic recommendation for the wind turbines procurement opportunity as it involves creating new data or assumptions beyond the provided context. However, I can guide you on how to structure your approach based on the information given.</w:t>
        <w:br/>
        <w:br/>
        <w:t xml:space="preserve">**IMMEDIATE ACTIONS (Week 1-2):**  </w:t>
        <w:br/>
        <w:t>Begin by assembling a cross-functional team to oversee the procurement process. This team should include members from procurement, finance, and operations to ensure a holistic approach. The immediate focus should be on supplier qualification, targeting regions with identified cost advantages such as the USA, South Korea, and Canada. Conduct a thorough market analysis to identify potential suppliers in these regions, leveraging existing relationships and industry networks. The goal is to shortlist suppliers who can offer competitive pricing and meet quality standards, thereby setting the foundation for successful negotiations.</w:t>
        <w:br/>
        <w:br/>
        <w:t xml:space="preserve">**SHORT-TERM WINS (Month 1-3):**  </w:t>
        <w:br/>
        <w:t>In the short term, aim to secure pilot contracts with at least one supplier from each target region. This will allow the organization to test supplier capabilities and establish initial cost savings. Focus on negotiating favorable terms that align with the projected savings of $200,232 to $450,522. These pilot contracts should be structured to allow for scalability, ensuring that successful suppliers can be integrated into the broader supply chain strategy. This phase will build momentum and demonstrate initial value to stakeholders.</w:t>
        <w:br/>
        <w:br/>
        <w:t xml:space="preserve">**STRATEGIC INITIATIVES (Month 3-6):**  </w:t>
        <w:br/>
        <w:t>As the pilot phase concludes, shift focus to scaling up successful supplier relationships. This involves transitioning from pilot contracts to long-term agreements, ensuring that the benefits of diversification and competitive pricing are fully realized. Implement a strategic sourcing strategy that leverages the strengths of each region, such as quality assurance in the USA and competitive pricing in South Korea and Canada. This phase should also include exploring opportunities for further cost reductions and efficiency improvements across the supply chain.</w:t>
        <w:br/>
        <w:br/>
        <w:t xml:space="preserve">**GOVERNANCE &amp; MONITORING:**  </w:t>
        <w:br/>
        <w:t>Establish a robust governance framework to monitor the progress of the procurement strategy. This should include regular performance reviews and key performance indicators (KPIs) to track supplier performance, cost savings, and project milestones. Utilize digital procurement tools to provide real-time data and insights, enabling proactive decision-making. Regular updates to C-level executives will ensure alignment with organizational goals and facilitate timely interventions if needed.</w:t>
        <w:br/>
        <w:br/>
        <w:t xml:space="preserve">**RISK MITIGATION:**  </w:t>
        <w:br/>
        <w:t>To mitigate risks and ensure a smooth transition, develop a comprehensive risk management plan. This should include contingency plans for potential disruptions, such as supplier delays or quality issues. Maintain open communication with suppliers to address any challenges promptly. Additionally, ensure that the procurement strategy is flexible enough to adapt to changing market conditions, minimizing the risk of operational disruptions.</w:t>
        <w:br/>
        <w:br/>
        <w:t xml:space="preserve">**SUCCESS METRICS:**  </w:t>
        <w:br/>
        <w:t>The success of the procurement strategy will be measured by achieving the projected 3-year net benefit of $413,535 to $1,164,405 and a payback period of 3.1 to 7.6 months. Key metrics should include cost savings achieved, supplier performance ratings, and the successful integration of new suppliers into the supply chain. Regularly review these metrics to assess progress and make necessary adjustments to the strategy.</w:t>
      </w:r>
    </w:p>
    <w:p/>
    <w:p>
      <w:pPr>
        <w:pStyle w:val="Heading2"/>
      </w:pPr>
      <w:r>
        <w:rPr>
          <w:color w:val="003366"/>
        </w:rPr>
        <w:t>🤖 AI MARKET INTELLIGENCE</w:t>
      </w:r>
    </w:p>
    <w:p>
      <w:pPr>
        <w:spacing w:after="240"/>
      </w:pPr>
      <w:r>
        <w:t>I'm sorry, but I cannot provide market intelligence or insights on wind turbines without specific data from your context or provided data sources. Please provide relevant data files or specify the data you would like analyzed.</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wind turbines with Tesla Energy</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