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SCAFFOLDING DIVERSIFICATION</w:t>
      </w:r>
    </w:p>
    <w:p>
      <w:pPr>
        <w:jc w:val="center"/>
      </w:pPr>
      <w:r>
        <w:rPr>
          <w:i/>
          <w:sz w:val="22"/>
        </w:rPr>
        <w:t>Regional Concentration Analysis &amp; Diversification Strategy</w:t>
      </w:r>
    </w:p>
    <w:p>
      <w:pPr>
        <w:jc w:val="center"/>
      </w:pPr>
      <w:r>
        <w:rPr>
          <w:b/>
          <w:sz w:val="24"/>
        </w:rPr>
        <w:t>Total Category Spend 2025: USD 432,000</w:t>
      </w:r>
    </w:p>
    <w:p/>
    <w:p>
      <w:pPr>
        <w:pStyle w:val="Heading2"/>
      </w:pPr>
      <w:r>
        <w:rPr>
          <w:color w:val="003366"/>
        </w:rPr>
        <w:t>ORIGINAL SPEND CONCENTRATION (2025)</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Germany</w:t>
            </w:r>
          </w:p>
        </w:tc>
        <w:tc>
          <w:tcPr>
            <w:tcW w:type="dxa" w:w="3360"/>
          </w:tcPr>
          <w:p>
            <w:r>
              <w:rPr>
                <w:sz w:val="20"/>
              </w:rPr>
              <w:t>100%</w:t>
            </w:r>
          </w:p>
        </w:tc>
        <w:tc>
          <w:tcPr>
            <w:tcW w:type="dxa" w:w="3360"/>
          </w:tcPr>
          <w:p>
            <w:r>
              <w:rPr>
                <w:sz w:val="20"/>
              </w:rPr>
              <w:t>$432,000</w:t>
            </w:r>
          </w:p>
        </w:tc>
      </w:tr>
      <w:tr>
        <w:tc>
          <w:tcPr>
            <w:tcW w:type="dxa" w:w="3360"/>
          </w:tcPr>
          <w:p>
            <w:r>
              <w:rPr>
                <w:sz w:val="20"/>
              </w:rPr>
              <w:t>Total High Concentration</w:t>
            </w:r>
          </w:p>
        </w:tc>
        <w:tc>
          <w:tcPr>
            <w:tcW w:type="dxa" w:w="3360"/>
          </w:tcPr>
          <w:p>
            <w:r>
              <w:rPr>
                <w:sz w:val="20"/>
              </w:rPr>
              <w:t>100%</w:t>
            </w:r>
          </w:p>
        </w:tc>
        <w:tc>
          <w:tcPr>
            <w:tcW w:type="dxa" w:w="3360"/>
          </w:tcPr>
          <w:p>
            <w:r>
              <w:rPr>
                <w:sz w:val="20"/>
              </w:rPr>
              <w:t>$432,000</w:t>
            </w:r>
          </w:p>
        </w:tc>
      </w:tr>
    </w:tbl>
    <w:p>
      <w:pPr>
        <w:spacing w:before="120"/>
      </w:pPr>
      <w:r>
        <w:t>Germany exceeds 40% of spend, creating regional concentration risk.</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Germany</w:t>
            </w:r>
          </w:p>
        </w:tc>
        <w:tc>
          <w:tcPr>
            <w:tcW w:type="dxa" w:w="2520"/>
          </w:tcPr>
          <w:p>
            <w:r>
              <w:rPr>
                <w:sz w:val="20"/>
              </w:rPr>
              <w:t>34%</w:t>
            </w:r>
          </w:p>
        </w:tc>
        <w:tc>
          <w:tcPr>
            <w:tcW w:type="dxa" w:w="2520"/>
          </w:tcPr>
          <w:p>
            <w:r>
              <w:rPr>
                <w:sz w:val="20"/>
              </w:rPr>
              <w:t>$146,880</w:t>
            </w:r>
          </w:p>
        </w:tc>
        <w:tc>
          <w:tcPr>
            <w:tcW w:type="dxa" w:w="2520"/>
          </w:tcPr>
          <w:p>
            <w:r>
              <w:rPr>
                <w:sz w:val="20"/>
              </w:rPr>
              <w:t>66% lower</w:t>
            </w:r>
          </w:p>
        </w:tc>
      </w:tr>
      <w:tr>
        <w:tc>
          <w:tcPr>
            <w:tcW w:type="dxa" w:w="2520"/>
          </w:tcPr>
          <w:p>
            <w:r>
              <w:rPr>
                <w:sz w:val="20"/>
              </w:rPr>
              <w:t>India</w:t>
            </w:r>
          </w:p>
        </w:tc>
        <w:tc>
          <w:tcPr>
            <w:tcW w:type="dxa" w:w="2520"/>
          </w:tcPr>
          <w:p>
            <w:r>
              <w:rPr>
                <w:sz w:val="20"/>
              </w:rPr>
              <w:t>22%</w:t>
            </w:r>
          </w:p>
        </w:tc>
        <w:tc>
          <w:tcPr>
            <w:tcW w:type="dxa" w:w="2520"/>
          </w:tcPr>
          <w:p>
            <w:r>
              <w:rPr>
                <w:sz w:val="20"/>
              </w:rPr>
              <w:t>$95,040</w:t>
            </w:r>
          </w:p>
        </w:tc>
        <w:tc>
          <w:tcPr>
            <w:tcW w:type="dxa" w:w="2520"/>
          </w:tcPr>
          <w:p>
            <w:r>
              <w:rPr>
                <w:sz w:val="20"/>
              </w:rPr>
              <w:t>New addition</w:t>
            </w:r>
          </w:p>
        </w:tc>
      </w:tr>
      <w:tr>
        <w:tc>
          <w:tcPr>
            <w:tcW w:type="dxa" w:w="2520"/>
          </w:tcPr>
          <w:p>
            <w:r>
              <w:rPr>
                <w:sz w:val="20"/>
              </w:rPr>
              <w:t>China</w:t>
            </w:r>
          </w:p>
        </w:tc>
        <w:tc>
          <w:tcPr>
            <w:tcW w:type="dxa" w:w="2520"/>
          </w:tcPr>
          <w:p>
            <w:r>
              <w:rPr>
                <w:sz w:val="20"/>
              </w:rPr>
              <w:t>22%</w:t>
            </w:r>
          </w:p>
        </w:tc>
        <w:tc>
          <w:tcPr>
            <w:tcW w:type="dxa" w:w="2520"/>
          </w:tcPr>
          <w:p>
            <w:r>
              <w:rPr>
                <w:sz w:val="20"/>
              </w:rPr>
              <w:t>$95,040</w:t>
            </w:r>
          </w:p>
        </w:tc>
        <w:tc>
          <w:tcPr>
            <w:tcW w:type="dxa" w:w="2520"/>
          </w:tcPr>
          <w:p>
            <w:r>
              <w:rPr>
                <w:sz w:val="20"/>
              </w:rPr>
              <w:t>New addition</w:t>
            </w:r>
          </w:p>
        </w:tc>
      </w:tr>
      <w:tr>
        <w:tc>
          <w:tcPr>
            <w:tcW w:type="dxa" w:w="2520"/>
          </w:tcPr>
          <w:p>
            <w:r>
              <w:rPr>
                <w:sz w:val="20"/>
              </w:rPr>
              <w:t>Mexico</w:t>
            </w:r>
          </w:p>
        </w:tc>
        <w:tc>
          <w:tcPr>
            <w:tcW w:type="dxa" w:w="2520"/>
          </w:tcPr>
          <w:p>
            <w:r>
              <w:rPr>
                <w:sz w:val="20"/>
              </w:rPr>
              <w:t>22%</w:t>
            </w:r>
          </w:p>
        </w:tc>
        <w:tc>
          <w:tcPr>
            <w:tcW w:type="dxa" w:w="2520"/>
          </w:tcPr>
          <w:p>
            <w:r>
              <w:rPr>
                <w:sz w:val="20"/>
              </w:rPr>
              <w:t>$95,040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$432,000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Germany</w:t>
            </w:r>
          </w:p>
        </w:tc>
        <w:tc>
          <w:tcPr>
            <w:tcW w:type="dxa" w:w="5040"/>
          </w:tcPr>
          <w:p>
            <w:r>
              <w:rPr>
                <w:sz w:val="20"/>
              </w:rPr>
              <w:t>100% → 34% = 66.0%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Reduction</w:t>
            </w:r>
          </w:p>
        </w:tc>
      </w:tr>
      <w:tr>
        <w:tc>
          <w:tcPr>
            <w:tcW w:type="dxa" w:w="2520"/>
          </w:tcPr>
          <w:p>
            <w:r>
              <w:rPr>
                <w:sz w:val="20"/>
              </w:rPr>
              <w:t>European Supply Corridor</w:t>
            </w:r>
          </w:p>
        </w:tc>
        <w:tc>
          <w:tcPr>
            <w:tcW w:type="dxa" w:w="2520"/>
          </w:tcPr>
          <w:p>
            <w:r>
              <w:rPr>
                <w:sz w:val="20"/>
              </w:rPr>
              <w:t>100%</w:t>
            </w:r>
          </w:p>
        </w:tc>
        <w:tc>
          <w:tcPr>
            <w:tcW w:type="dxa" w:w="2520"/>
          </w:tcPr>
          <w:p>
            <w:r>
              <w:rPr>
                <w:sz w:val="20"/>
              </w:rPr>
              <w:t>65–75%</w:t>
            </w:r>
          </w:p>
        </w:tc>
        <w:tc>
          <w:tcPr>
            <w:tcW w:type="dxa" w:w="2520"/>
          </w:tcPr>
          <w:p>
            <w:r>
              <w:rPr>
                <w:sz w:val="20"/>
              </w:rPr>
              <w:t>25–35%</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$5,184 – $11,664</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$5,184 – $11,664</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$5,184 – $11,664</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$15,552 – $34,992</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CRITICAL</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4.0/4.0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$15,552 – $34,992</w:t>
            </w:r>
          </w:p>
        </w:tc>
      </w:tr>
      <w:tr>
        <w:tc>
          <w:tcPr>
            <w:tcW w:type="dxa" w:w="5040"/>
          </w:tcPr>
          <w:p>
            <w:r>
              <w:rPr>
                <w:sz w:val="20"/>
              </w:rPr>
              <w:t>Risk Reduction Value</w:t>
            </w:r>
          </w:p>
        </w:tc>
        <w:tc>
          <w:tcPr>
            <w:tcW w:type="dxa" w:w="5040"/>
          </w:tcPr>
          <w:p>
            <w:r>
              <w:rPr>
                <w:sz w:val="20"/>
              </w:rPr>
              <w:t>$6,480</w:t>
            </w:r>
          </w:p>
        </w:tc>
      </w:tr>
      <w:tr>
        <w:tc>
          <w:tcPr>
            <w:tcW w:type="dxa" w:w="5040"/>
          </w:tcPr>
          <w:p>
            <w:r>
              <w:rPr>
                <w:sz w:val="20"/>
              </w:rPr>
              <w:t>ROI (First Year)</w:t>
            </w:r>
          </w:p>
        </w:tc>
        <w:tc>
          <w:tcPr>
            <w:tcW w:type="dxa" w:w="5040"/>
          </w:tcPr>
          <w:p>
            <w:r>
              <w:rPr>
                <w:sz w:val="20"/>
              </w:rPr>
              <w:t>155% – 380%</w:t>
            </w:r>
          </w:p>
        </w:tc>
      </w:tr>
      <w:tr>
        <w:tc>
          <w:tcPr>
            <w:tcW w:type="dxa" w:w="5040"/>
          </w:tcPr>
          <w:p>
            <w:r>
              <w:rPr>
                <w:sz w:val="20"/>
              </w:rPr>
              <w:t>3-Year Net Benefit</w:t>
            </w:r>
          </w:p>
        </w:tc>
        <w:tc>
          <w:tcPr>
            <w:tcW w:type="dxa" w:w="5040"/>
          </w:tcPr>
          <w:p>
            <w:r>
              <w:rPr>
                <w:sz w:val="20"/>
              </w:rPr>
              <w:t>$57,456 – $115,776</w:t>
            </w:r>
          </w:p>
        </w:tc>
      </w:tr>
    </w:tbl>
    <w:p/>
    <w:p>
      <w:pPr>
        <w:pStyle w:val="Heading2"/>
      </w:pPr>
      <w:r>
        <w:rPr>
          <w:color w:val="003366"/>
        </w:rPr>
        <w:t>STRATEGIC OUTCOME</w:t>
      </w:r>
    </w:p>
    <w:p>
      <w:pPr>
        <w:pStyle w:val="ListBullet"/>
      </w:pPr>
      <w:r>
        <w:t>Reduce Germany reliance by 66%</w:t>
      </w:r>
    </w:p>
    <w:p>
      <w:pPr>
        <w:pStyle w:val="ListBullet"/>
      </w:pPr>
      <w:r>
        <w:t>Add 3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~25% with blended cost advantage</w:t>
      </w:r>
    </w:p>
    <w:p/>
    <w:p>
      <w:pPr>
        <w:pStyle w:val="Heading2"/>
      </w:pPr>
      <w:r>
        <w:rPr>
          <w:color w:val="003366"/>
        </w:rPr>
        <w:t>WHY THIS MATTERS</w:t>
      </w:r>
    </w:p>
    <w:p>
      <w:r>
        <w:t xml:space="preserve">This analysis reveals a critical supplier concentration issue in Scaffolding. With 100% of the $432,000 annual spend flowing through a single supplier, any disruption—whether from production issues, logistics failures, geopolitical events, or commercial disputes—would result in complete supply chain failure.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$15,552 to $34,992 in annual cost savings, representing a 155%-380% ROI on the estimated $8,640 implementation investment.</w:t>
        <w:br/>
        <w:br/>
        <w:t>2. RISK MITIGATION: Current risk level is rated CRITICAL. Reducing concentration by 25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(CRITICAL): At 100% concentration, a single supplier controls the vast majority of supply. Industry best practice recommends no single supplier exceeds 30%. Current state exceeds this threshold by 3x.</w:t>
        <w:br/>
        <w:br/>
        <w:t>• GEOGRAPHIC RISK (HIGH): 100% of spend is concentrated in Germany. This exposes the supply chain to regional disruptions including: natural disasters, political instability, trade policy changes, and logistics bottlenecks.</w:t>
        <w:br/>
        <w:br/>
        <w:t>• DIVERSITY RISK (CRITICAL): Only 1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Scaffolding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strategy for scaffolding materials presents a critical risk due to geographic concentration, with 100% of the $432,000 annual spend allocated to suppliers in Germany. This singular focus on a limited geography exposes the organization to significant vulnerabilities, including potential disruptions in supply chain continuity and increased susceptibility to regional economic fluctuations. The concentration risk is not only a financial concern but also a strategic challenge that could impact operational resilience and cost efficiency.</w:t>
        <w:br/>
        <w:br/>
        <w:t>Regional concentration is inherently problematic as it increases exposure to geopolitical risks, such as changes in trade policies or tariffs that could affect the cost and availability of materials. Additionally, reliance on a single geographic area heightens the risk of logistics disruptions, whether due to natural disasters, strikes, or infrastructure failures. Currency exposure is another critical factor; fluctuations in the Euro could lead to unpredictable cost variations, impacting budget stability and financial forecasting.</w:t>
        <w:br/>
        <w:br/>
        <w:t>To mitigate these risks, a diversification strategy is essential. By reallocating spend to include suppliers from other regions, such as Eastern Europe and Southeast Asia, the organization can enhance supply chain resilience and reduce dependency on a single market. This strategy involves identifying and qualifying new suppliers in these regions, leveraging their competitive pricing and favorable trade terms to achieve cost savings while maintaining quality standards.</w:t>
        <w:br/>
        <w:br/>
        <w:t>The expected benefits of this diversification are substantial. By reducing the concentration in Germany to below the 40% threshold, the organization can achieve projected annual savings of $15,552 to $34,992. This strategic shift not only lowers the risk of supply chain disruptions but also enhances the organization's ability to adapt to market changes, ensuring a more stable and predictable procurement process. The reduction in regional concentration will ultimately strengthen the organization's competitive position, providing a more robust foundation for future growth and operational success.</w:t>
      </w:r>
    </w:p>
    <w:p/>
    <w:p>
      <w:pPr>
        <w:pStyle w:val="Heading2"/>
      </w:pPr>
      <w:r>
        <w:rPr>
          <w:color w:val="003366"/>
        </w:rPr>
        <w:t>🤖 AI-POWERED RISK ANALYSIS</w:t>
      </w:r>
    </w:p>
    <w:p>
      <w:pPr>
        <w:spacing w:after="240"/>
      </w:pPr>
      <w:r>
        <w:t>## ANALYSIS SUMMARY</w:t>
        <w:br/>
        <w:br/>
        <w:t>**Data Source:** Not provided</w:t>
        <w:br/>
        <w:t>**Analysis Date:** [CURRENT_DATE]</w:t>
        <w:br/>
        <w:t>**Category:** Scaffolding</w:t>
        <w:br/>
        <w:br/>
        <w:t>---</w:t>
        <w:br/>
        <w:br/>
        <w:t>## CURRENT RISK EXPOSURE</w:t>
        <w:br/>
        <w:br/>
        <w:t>The current risk exposure for the scaffolding category is at a critical level, with a total spend at risk of $432,000. This indicates that the entire budget allocated to scaffolding is susceptible to potential disruptions, which could severely impact project timelines and financial performance. The critical risk levels across supply chain, geographic, and supplier diversity dimensions suggest a heightened vulnerability to supply chain disruptions. This level of risk exposure can lead to significant operational delays, increased costs due to emergency sourcing or expedited shipping, and potential safety hazards if scaffolding materials are not delivered on time or are of substandard quality.</w:t>
        <w:br/>
        <w:br/>
        <w:t>---</w:t>
        <w:br/>
        <w:br/>
        <w:t>## RULE VIOLATION ANALYSIS</w:t>
        <w:br/>
        <w:br/>
        <w:t>Despite the critical risk levels, there are currently no recorded rule violations or warnings, resulting in a compliance rate of 0.0%. This anomaly suggests that while the formal procurement rules may not be breached, the existing risk management framework may not adequately capture or mitigate the inherent risks in the scaffolding supply chain. The absence of rule violations could indicate a gap in the risk assessment criteria or a need for more stringent rules that address the specific vulnerabilities of the scaffolding category, such as dependency on single-source suppliers or regions prone to geopolitical instability.</w:t>
        <w:br/>
        <w:br/>
        <w:t>---</w:t>
        <w:br/>
        <w:br/>
        <w:t>## SCENARIO ANALYSIS</w:t>
        <w:br/>
        <w:br/>
        <w:t>1. **Supply Chain Disruption:** A sudden shortage of key scaffolding materials due to a supplier's operational failure could halt construction projects, leading to costly delays and contractual penalties. The financial impact could exceed the current spend at risk, as alternative sourcing options may be limited and more expensive.</w:t>
        <w:br/>
        <w:br/>
        <w:t>2. **Geopolitical Instability:** If the primary suppliers are located in regions experiencing political unrest or trade restrictions, the supply chain could face significant delays or complete shutdowns. This scenario could necessitate emergency procurement measures, further inflating costs and impacting project timelines.</w:t>
        <w:br/>
        <w:br/>
        <w:t>3. **Natural Disasters:** A natural disaster in a key supplier region could disrupt production and logistics, causing a ripple effect across the supply chain. This would not only delay projects but also increase costs due to the need for expedited shipping and potential price surges in the market.</w:t>
        <w:br/>
        <w:br/>
        <w:t>---</w:t>
        <w:br/>
        <w:br/>
        <w:t>## RISK INTERDEPENDENCIES</w:t>
        <w:br/>
        <w:br/>
        <w:t>Supplier and geographic risks are deeply intertwined, compounding the overall risk exposure. A limited supplier base concentrated in high-risk regions increases the likelihood of simultaneous disruptions. For instance, if a primary supplier in a geopolitically unstable region faces operational challenges, the lack of alternative suppliers exacerbates the risk, leading to potential project delays and financial losses. This interdependency highlights the need for a diversified supplier portfolio and geographic distribution to mitigate compounded risks effectively.</w:t>
        <w:br/>
        <w:br/>
        <w:t>---</w:t>
        <w:br/>
        <w:br/>
        <w:t>## MITIGATION URGENCY</w:t>
        <w:br/>
        <w:br/>
        <w:t>Immediate action is crucial to address the critical risk levels identified. Delaying mitigation efforts could result in severe operational and financial consequences, especially given the high dependency on potentially unstable suppliers and regions. Proactive measures, such as diversifying the supplier base, exploring alternative regions, and strengthening contractual terms, are essential to enhance supply chain resilience. By acting now, the organization can reduce the likelihood of disruptions, safeguard project timelines, and maintain financial stability, ultimately protecting its reputation and stakeholder interests.</w:t>
      </w:r>
    </w:p>
    <w:p/>
    <w:p>
      <w:pPr>
        <w:pStyle w:val="Heading2"/>
      </w:pPr>
      <w:r>
        <w:rPr>
          <w:color w:val="003366"/>
        </w:rPr>
        <w:t>🤖 AI-GENERATED STRATEGIC RECOMMENDATIONS</w:t>
      </w:r>
    </w:p>
    <w:p>
      <w:pPr>
        <w:spacing w:after="240"/>
      </w:pPr>
      <w:r>
        <w:t>I'm unable to provide specific strategic recommendations for the scaffolding procurement opportunity without access to the necessary data sources and context. However, I can outline a general framework for approaching such a procurement opportunity, emphasizing the need for data-backed decisions and traceability.</w:t>
        <w:br/>
        <w:br/>
        <w:t>## STRATEGIC RECOMMENDATIONS</w:t>
        <w:br/>
        <w:br/>
        <w:t>### IMMEDIATE ACTIONS (Week 1-2)</w:t>
        <w:br/>
        <w:br/>
        <w:t>**Objective:** Initiate the procurement process with a focus on supplier qualification and risk assessment.</w:t>
        <w:br/>
        <w:br/>
        <w:t>1. **Supplier Identification and Pre-Qualification:**</w:t>
        <w:br/>
        <w:t xml:space="preserve">   - **Action:** Begin by identifying potential suppliers in cost-effective regions such as India, China, and Mexico. Utilize existing supplier databases and industry contacts to compile a list of candidates.</w:t>
        <w:br/>
        <w:t xml:space="preserve">   - **Rationale:** These regions offer cost advantages due to factors like skilled labor and supply chain efficiencies, which align with the project's cost-saving goals.</w:t>
        <w:br/>
        <w:br/>
        <w:t>2. **Risk Assessment:**</w:t>
        <w:br/>
        <w:t xml:space="preserve">   - **Action:** Conduct a preliminary risk assessment focusing on geopolitical, economic, and supply chain risks associated with each region.</w:t>
        <w:br/>
        <w:t xml:space="preserve">   - **Rationale:** Understanding potential risks early on will help in selecting suppliers that offer not only cost benefits but also stability and reliability.</w:t>
        <w:br/>
        <w:br/>
        <w:t>### SHORT-TERM WINS (Month 1-3)</w:t>
        <w:br/>
        <w:br/>
        <w:t>**Objective:** Achieve quick wins to demonstrate value and build momentum for the project.</w:t>
        <w:br/>
        <w:br/>
        <w:t>1. **Pilot Contracts:**</w:t>
        <w:br/>
        <w:t xml:space="preserve">   - **Action:** Engage in pilot contracts with selected suppliers from the pre-qualification phase. Focus on small-scale orders to test supplier capabilities and responsiveness.</w:t>
        <w:br/>
        <w:t xml:space="preserve">   - **Rationale:** Pilot contracts allow for real-world testing of supplier performance, providing insights into their operational efficiency and quality standards.</w:t>
        <w:br/>
        <w:br/>
        <w:t>2. **Cost Savings Realization:**</w:t>
        <w:br/>
        <w:t xml:space="preserve">   - **Action:** Leverage initial cost savings from pilot contracts to reinvest in further procurement activities or offset implementation costs.</w:t>
        <w:br/>
        <w:t xml:space="preserve">   - **Rationale:** Demonstrating tangible savings early in the process will help secure stakeholder buy-in and support for larger initiatives.</w:t>
        <w:br/>
        <w:br/>
        <w:t>### STRATEGIC INITIATIVES (Month 3-6)</w:t>
        <w:br/>
        <w:br/>
        <w:t>**Objective:** Implement larger transformation efforts to maximize long-term benefits.</w:t>
        <w:br/>
        <w:br/>
        <w:t>1. **Supplier Consolidation and Long-term Contracts:**</w:t>
        <w:br/>
        <w:t xml:space="preserve">   - **Action:** Based on performance reviews, consolidate suppliers to focus on those offering the best combination of cost, quality, and reliability. Negotiate long-term contracts to lock in favorable terms.</w:t>
        <w:br/>
        <w:t xml:space="preserve">   - **Rationale:** Consolidating suppliers reduces complexity and enhances negotiation leverage, leading to better pricing and service levels.</w:t>
        <w:br/>
        <w:br/>
        <w:t>2. **Process Optimization:**</w:t>
        <w:br/>
        <w:t xml:space="preserve">   - **Action:** Implement process improvements identified during the pilot phase, such as streamlined ordering and inventory management systems.</w:t>
        <w:br/>
        <w:t xml:space="preserve">   - **Rationale:** Optimizing procurement processes increases efficiency and reduces operational costs, contributing to overall savings.</w:t>
        <w:br/>
        <w:br/>
        <w:t>### GOVERNANCE &amp; MONITORING</w:t>
        <w:br/>
        <w:br/>
        <w:t>**Objective:** Establish a robust framework to track progress and ensure success.</w:t>
        <w:br/>
        <w:br/>
        <w:t>1. **Performance Metrics and KPIs:**</w:t>
        <w:br/>
        <w:t xml:space="preserve">   - **Action:** Define clear performance metrics and key performance indicators (KPIs) to monitor supplier performance, cost savings, and project milestones.</w:t>
        <w:br/>
        <w:t xml:space="preserve">   - **Rationale:** Regular tracking of KPIs ensures that the project stays on course and allows for timely adjustments to strategies.</w:t>
        <w:br/>
        <w:br/>
        <w:t>2. **Regular Review Meetings:**</w:t>
        <w:br/>
        <w:t xml:space="preserve">   - **Action:** Schedule regular review meetings with stakeholders to discuss progress, challenges, and next steps.</w:t>
        <w:br/>
        <w:t xml:space="preserve">   - **Rationale:** Continuous communication fosters transparency and accountability, ensuring that all parties are aligned with project goals.</w:t>
        <w:br/>
        <w:br/>
        <w:t>### RISK MITIGATION</w:t>
        <w:br/>
        <w:br/>
        <w:t>**Objective:** Execute the strategy without disrupting current operations.</w:t>
        <w:br/>
        <w:br/>
        <w:t>1. **Contingency Planning:**</w:t>
        <w:br/>
        <w:t xml:space="preserve">   - **Action:** Develop contingency plans for potential disruptions, such as supplier failures or geopolitical issues.</w:t>
        <w:br/>
        <w:t xml:space="preserve">   - **Rationale:** Having backup plans in place minimizes the impact of unforeseen events on project timelines and outcomes.</w:t>
        <w:br/>
        <w:br/>
        <w:t>2. **Gradual Implementation:**</w:t>
        <w:br/>
        <w:t xml:space="preserve">   - **Action:** Implement changes gradually to allow for adjustments based on real-time feedback and performance data.</w:t>
        <w:br/>
        <w:t xml:space="preserve">   - **Rationale:** A phased approach reduces the risk of operational disruptions and allows for smoother transitions.</w:t>
        <w:br/>
        <w:br/>
        <w:t>### SUCCESS METRICS</w:t>
        <w:br/>
        <w:br/>
        <w:t>**Objective:** Define how success will be measured to evaluate the effectiveness of the strategy.</w:t>
        <w:br/>
        <w:br/>
        <w:t>1. **Cost Savings Achievement:**</w:t>
        <w:br/>
        <w:t xml:space="preserve">   - **Metric:** Track actual cost savings against projected savings of $15,552 - $34,992.</w:t>
        <w:br/>
        <w:t xml:space="preserve">   - **Rationale:** Meeting or exceeding savings targets is a primary indicator of success.</w:t>
        <w:br/>
        <w:br/>
        <w:t>2. **Supplier Performance:**</w:t>
        <w:br/>
        <w:t xml:space="preserve">   - **Metric:** Evaluate supplier performance based on delivery times, quality standards, and responsiveness.</w:t>
        <w:br/>
        <w:t xml:space="preserve">   - **Rationale:** High-performing suppliers contribute to the overall success of the procurement strategy.</w:t>
        <w:br/>
        <w:br/>
        <w:t>3. **Payback Period:**</w:t>
        <w:br/>
        <w:t xml:space="preserve">   - **Metric:** Monitor the payback period to ensure it aligns with the projected 2.5 - 4.7 months.</w:t>
        <w:br/>
        <w:t xml:space="preserve">   - **Rationale:** A shorter payback period indicates a quicker realization of benefits, enhancing project viability.</w:t>
        <w:br/>
        <w:br/>
        <w:t>By following this structured approach and focusing on data-backed decisions, the procurement team can effectively manage the scaffolding category, achieving both short-term wins and long-term strategic benefits.</w:t>
      </w:r>
    </w:p>
    <w:p/>
    <w:p>
      <w:pPr>
        <w:pStyle w:val="Heading2"/>
      </w:pPr>
      <w:r>
        <w:rPr>
          <w:color w:val="003366"/>
        </w:rPr>
        <w:t>🤖 AI MARKET INTELLIGENCE</w:t>
      </w:r>
    </w:p>
    <w:p>
      <w:pPr>
        <w:spacing w:after="240"/>
      </w:pPr>
      <w:r>
        <w:t>I'm sorry, but I cannot provide specific market intelligence or industry trends without access to the necessary data sources. However, I can guide you on how to structure your analysis based on typical industry dynamics and considerations for the scaffolding and construction equipment category. If you can provide specific data or sources, I can help analyze that information accurately. Here’s a general framework you might consider:</w:t>
        <w:br/>
        <w:br/>
        <w:t>## INDUSTRY TRENDS</w:t>
        <w:br/>
        <w:br/>
        <w:t>Globally, the scaffolding and construction equipment market is experiencing significant growth driven by increased construction activities, urbanization, and infrastructure development. Demand is particularly strong in emerging markets where rapid urbanization is occurring. However, supply chain disruptions, particularly those caused by geopolitical tensions and the COVID-19 pandemic, have impacted the availability and pricing of raw materials, leading to fluctuating prices. The industry is also seeing a shift towards more sustainable and modular scaffolding solutions, driven by environmental regulations and the need for more efficient construction processes.</w:t>
        <w:br/>
        <w:br/>
        <w:t>## REGIONAL ANALYSIS</w:t>
        <w:br/>
        <w:br/>
        <w:t>Germany is known for its high-quality manufacturing standards and innovation in construction equipment, making it a reliable but potentially higher-cost sourcing region. India and China are considered low-cost regions with competitive pricing due to lower labor costs and large-scale production capabilities. However, these regions may present risks such as quality variability and potential supply chain disruptions due to political or economic instability. Mexico offers proximity advantages for North American markets, with moderate costs and a growing manufacturing base, but may face challenges related to trade policies and infrastructure.</w:t>
        <w:br/>
        <w:br/>
        <w:t>## SUPPLIER LANDSCAPE</w:t>
        <w:br/>
        <w:br/>
        <w:t>The supplier landscape in the scaffolding category is diverse, ranging from large multinational corporations to specialized local manufacturers. Market concentration varies by region, with China and India having a large number of suppliers, which can drive competitive pricing but may also lead to quality concerns. In contrast, the European market, including Germany, tends to have fewer but more established suppliers known for quality and innovation. This diversity requires careful supplier selection and management to ensure quality and reliability.</w:t>
        <w:br/>
        <w:br/>
        <w:t>## STRATEGIC CONSIDERATIONS</w:t>
        <w:br/>
        <w:br/>
        <w:t>When making sourcing decisions in the scaffolding category, key considerations include balancing cost with quality, ensuring supply chain resilience, and aligning with sustainability goals. Companies should evaluate the total cost of ownership, including logistics, tariffs, and potential risks associated with each region. Diversifying the supplier base across multiple regions can mitigate risks and enhance supply chain resilience. Additionally, engaging with suppliers that prioritize innovation and sustainability can provide long-term benefits and align with corporate social responsibility objectives.</w:t>
        <w:br/>
        <w:br/>
        <w:t>For a more detailed and accurate analysis, specific data on current market conditions, supplier performance, and regional economic indicators would be necessary. If you have access to such data, I can assist in analyzing it to provide precise recommendations.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India, China, Mexico</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