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366"/>
          <w:sz w:val="32"/>
        </w:rPr>
        <w:t>LEADERSHIP BRIEF – WIND TURBINES DIVERSIFICATION</w:t>
      </w:r>
    </w:p>
    <w:p>
      <w:pPr>
        <w:jc w:val="center"/>
      </w:pPr>
      <w:r>
        <w:rPr>
          <w:i/>
          <w:sz w:val="22"/>
        </w:rPr>
        <w:t>Regional Concentration Analysis &amp; Diversification Strategy</w:t>
      </w:r>
    </w:p>
    <w:p>
      <w:pPr>
        <w:jc w:val="center"/>
      </w:pPr>
      <w:r>
        <w:rPr>
          <w:b/>
          <w:sz w:val="24"/>
        </w:rPr>
        <w:t>Total Category Spend 2025: USD 5,562,000</w:t>
      </w:r>
    </w:p>
    <w:p/>
    <w:p>
      <w:pPr>
        <w:pStyle w:val="Heading2"/>
      </w:pPr>
      <w:r>
        <w:rPr>
          <w:color w:val="003366"/>
        </w:rPr>
        <w:t>ORIGINAL SPEND CONCENTRATION (2025)</w:t>
      </w:r>
    </w:p>
    <w:tbl>
      <w:tblPr>
        <w:tblStyle w:val="TableGrid"/>
        <w:tblW w:type="auto" w:w="0"/>
        <w:tblLook w:firstColumn="1" w:firstRow="1" w:lastColumn="0" w:lastRow="0" w:noHBand="0" w:noVBand="1" w:val="04A0"/>
      </w:tblPr>
      <w:tblGrid>
        <w:gridCol w:w="3360"/>
        <w:gridCol w:w="3360"/>
        <w:gridCol w:w="3360"/>
      </w:tblGrid>
      <w:tr>
        <w:tc>
          <w:tcPr>
            <w:tcW w:type="dxa" w:w="3360"/>
          </w:tcPr>
          <w:p>
            <w:r>
              <w:rPr>
                <w:b/>
                <w:sz w:val="20"/>
              </w:rPr>
              <w:t>Country</w:t>
            </w:r>
          </w:p>
        </w:tc>
        <w:tc>
          <w:tcPr>
            <w:tcW w:type="dxa" w:w="3360"/>
          </w:tcPr>
          <w:p>
            <w:r>
              <w:rPr>
                <w:b/>
                <w:sz w:val="20"/>
              </w:rPr>
              <w:t>% of Total Spend</w:t>
            </w:r>
          </w:p>
        </w:tc>
        <w:tc>
          <w:tcPr>
            <w:tcW w:type="dxa" w:w="3360"/>
          </w:tcPr>
          <w:p>
            <w:r>
              <w:rPr>
                <w:b/>
                <w:sz w:val="20"/>
              </w:rPr>
              <w:t>Cost (USD)</w:t>
            </w:r>
          </w:p>
        </w:tc>
      </w:tr>
      <w:tr>
        <w:tc>
          <w:tcPr>
            <w:tcW w:type="dxa" w:w="3360"/>
          </w:tcPr>
          <w:p>
            <w:r>
              <w:rPr>
                <w:sz w:val="20"/>
              </w:rPr>
              <w:t>Denmark</w:t>
            </w:r>
          </w:p>
        </w:tc>
        <w:tc>
          <w:tcPr>
            <w:tcW w:type="dxa" w:w="3360"/>
          </w:tcPr>
          <w:p>
            <w:r>
              <w:rPr>
                <w:sz w:val="20"/>
              </w:rPr>
              <w:t>36%</w:t>
            </w:r>
          </w:p>
        </w:tc>
        <w:tc>
          <w:tcPr>
            <w:tcW w:type="dxa" w:w="3360"/>
          </w:tcPr>
          <w:p>
            <w:r>
              <w:rPr>
                <w:sz w:val="20"/>
              </w:rPr>
              <w:t>$1,998,000</w:t>
            </w:r>
          </w:p>
        </w:tc>
      </w:tr>
      <w:tr>
        <w:tc>
          <w:tcPr>
            <w:tcW w:type="dxa" w:w="3360"/>
          </w:tcPr>
          <w:p>
            <w:r>
              <w:rPr>
                <w:sz w:val="20"/>
              </w:rPr>
              <w:t>Spain</w:t>
            </w:r>
          </w:p>
        </w:tc>
        <w:tc>
          <w:tcPr>
            <w:tcW w:type="dxa" w:w="3360"/>
          </w:tcPr>
          <w:p>
            <w:r>
              <w:rPr>
                <w:sz w:val="20"/>
              </w:rPr>
              <w:t>33%</w:t>
            </w:r>
          </w:p>
        </w:tc>
        <w:tc>
          <w:tcPr>
            <w:tcW w:type="dxa" w:w="3360"/>
          </w:tcPr>
          <w:p>
            <w:r>
              <w:rPr>
                <w:sz w:val="20"/>
              </w:rPr>
              <w:t>$1,857,600</w:t>
            </w:r>
          </w:p>
        </w:tc>
      </w:tr>
      <w:tr>
        <w:tc>
          <w:tcPr>
            <w:tcW w:type="dxa" w:w="3360"/>
          </w:tcPr>
          <w:p>
            <w:r>
              <w:rPr>
                <w:sz w:val="20"/>
              </w:rPr>
              <w:t>USA</w:t>
            </w:r>
          </w:p>
        </w:tc>
        <w:tc>
          <w:tcPr>
            <w:tcW w:type="dxa" w:w="3360"/>
          </w:tcPr>
          <w:p>
            <w:r>
              <w:rPr>
                <w:sz w:val="20"/>
              </w:rPr>
              <w:t>31%</w:t>
            </w:r>
          </w:p>
        </w:tc>
        <w:tc>
          <w:tcPr>
            <w:tcW w:type="dxa" w:w="3360"/>
          </w:tcPr>
          <w:p>
            <w:r>
              <w:rPr>
                <w:sz w:val="20"/>
              </w:rPr>
              <w:t>$1,706,400</w:t>
            </w:r>
          </w:p>
        </w:tc>
      </w:tr>
    </w:tbl>
    <w:p>
      <w:pPr>
        <w:spacing w:before="120"/>
      </w:pPr>
      <w:r>
        <w:t>Regional distribution is within acceptable limits, but diversification opportunities exist.</w:t>
      </w:r>
    </w:p>
    <w:p/>
    <w:p>
      <w:pPr>
        <w:pStyle w:val="Heading2"/>
      </w:pPr>
      <w:r>
        <w:rPr>
          <w:color w:val="003366"/>
        </w:rPr>
        <w:t>DIVERSIFIED TARGET STATE (NEW SPLIT)</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sz w:val="20"/>
              </w:rPr>
              <w:t>Country / Region</w:t>
            </w:r>
          </w:p>
        </w:tc>
        <w:tc>
          <w:tcPr>
            <w:tcW w:type="dxa" w:w="2520"/>
          </w:tcPr>
          <w:p>
            <w:r>
              <w:rPr>
                <w:b/>
                <w:sz w:val="20"/>
              </w:rPr>
              <w:t>New % Allocation</w:t>
            </w:r>
          </w:p>
        </w:tc>
        <w:tc>
          <w:tcPr>
            <w:tcW w:type="dxa" w:w="2520"/>
          </w:tcPr>
          <w:p>
            <w:r>
              <w:rPr>
                <w:b/>
                <w:sz w:val="20"/>
              </w:rPr>
              <w:t>New Cost (USD)</w:t>
            </w:r>
          </w:p>
        </w:tc>
        <w:tc>
          <w:tcPr>
            <w:tcW w:type="dxa" w:w="2520"/>
          </w:tcPr>
          <w:p>
            <w:r>
              <w:rPr>
                <w:b/>
                <w:sz w:val="20"/>
              </w:rPr>
              <w:t>Change vs Original</w:t>
            </w:r>
          </w:p>
        </w:tc>
      </w:tr>
      <w:tr>
        <w:tc>
          <w:tcPr>
            <w:tcW w:type="dxa" w:w="2520"/>
          </w:tcPr>
          <w:p>
            <w:r>
              <w:rPr>
                <w:sz w:val="20"/>
              </w:rPr>
              <w:t>Denmark</w:t>
            </w:r>
          </w:p>
        </w:tc>
        <w:tc>
          <w:tcPr>
            <w:tcW w:type="dxa" w:w="2520"/>
          </w:tcPr>
          <w:p>
            <w:r>
              <w:rPr>
                <w:sz w:val="20"/>
              </w:rPr>
              <w:t>42%</w:t>
            </w:r>
          </w:p>
        </w:tc>
        <w:tc>
          <w:tcPr>
            <w:tcW w:type="dxa" w:w="2520"/>
          </w:tcPr>
          <w:p>
            <w:r>
              <w:rPr>
                <w:sz w:val="20"/>
              </w:rPr>
              <w:t>$2,336,040</w:t>
            </w:r>
          </w:p>
        </w:tc>
        <w:tc>
          <w:tcPr>
            <w:tcW w:type="dxa" w:w="2520"/>
          </w:tcPr>
          <w:p>
            <w:r>
              <w:rPr>
                <w:sz w:val="20"/>
              </w:rPr>
              <w:t>6% higher</w:t>
            </w:r>
          </w:p>
        </w:tc>
      </w:tr>
      <w:tr>
        <w:tc>
          <w:tcPr>
            <w:tcW w:type="dxa" w:w="2520"/>
          </w:tcPr>
          <w:p>
            <w:r>
              <w:rPr>
                <w:sz w:val="20"/>
              </w:rPr>
              <w:t>Spain</w:t>
            </w:r>
          </w:p>
        </w:tc>
        <w:tc>
          <w:tcPr>
            <w:tcW w:type="dxa" w:w="2520"/>
          </w:tcPr>
          <w:p>
            <w:r>
              <w:rPr>
                <w:sz w:val="20"/>
              </w:rPr>
              <w:t>30%</w:t>
            </w:r>
          </w:p>
        </w:tc>
        <w:tc>
          <w:tcPr>
            <w:tcW w:type="dxa" w:w="2520"/>
          </w:tcPr>
          <w:p>
            <w:r>
              <w:rPr>
                <w:sz w:val="20"/>
              </w:rPr>
              <w:t>$1,668,600</w:t>
            </w:r>
          </w:p>
        </w:tc>
        <w:tc>
          <w:tcPr>
            <w:tcW w:type="dxa" w:w="2520"/>
          </w:tcPr>
          <w:p>
            <w:r>
              <w:rPr>
                <w:sz w:val="20"/>
              </w:rPr>
              <w:t>3% lower</w:t>
            </w:r>
          </w:p>
        </w:tc>
      </w:tr>
      <w:tr>
        <w:tc>
          <w:tcPr>
            <w:tcW w:type="dxa" w:w="2520"/>
          </w:tcPr>
          <w:p>
            <w:r>
              <w:rPr>
                <w:sz w:val="20"/>
              </w:rPr>
              <w:t>USA</w:t>
            </w:r>
          </w:p>
        </w:tc>
        <w:tc>
          <w:tcPr>
            <w:tcW w:type="dxa" w:w="2520"/>
          </w:tcPr>
          <w:p>
            <w:r>
              <w:rPr>
                <w:sz w:val="20"/>
              </w:rPr>
              <w:t>28%</w:t>
            </w:r>
          </w:p>
        </w:tc>
        <w:tc>
          <w:tcPr>
            <w:tcW w:type="dxa" w:w="2520"/>
          </w:tcPr>
          <w:p>
            <w:r>
              <w:rPr>
                <w:sz w:val="20"/>
              </w:rPr>
              <w:t>$1,557,360</w:t>
            </w:r>
          </w:p>
        </w:tc>
        <w:tc>
          <w:tcPr>
            <w:tcW w:type="dxa" w:w="2520"/>
          </w:tcPr>
          <w:p>
            <w:r>
              <w:rPr>
                <w:sz w:val="20"/>
              </w:rPr>
              <w:t>3% lower</w:t>
            </w:r>
          </w:p>
        </w:tc>
      </w:tr>
      <w:tr>
        <w:tc>
          <w:tcPr>
            <w:tcW w:type="dxa" w:w="2520"/>
          </w:tcPr>
          <w:p>
            <w:r>
              <w:rPr>
                <w:sz w:val="20"/>
              </w:rPr>
              <w:t>Total</w:t>
            </w:r>
          </w:p>
        </w:tc>
        <w:tc>
          <w:tcPr>
            <w:tcW w:type="dxa" w:w="2520"/>
          </w:tcPr>
          <w:p>
            <w:r>
              <w:rPr>
                <w:sz w:val="20"/>
              </w:rPr>
              <w:t>100%</w:t>
            </w:r>
          </w:p>
        </w:tc>
        <w:tc>
          <w:tcPr>
            <w:tcW w:type="dxa" w:w="2520"/>
          </w:tcPr>
          <w:p>
            <w:r>
              <w:rPr>
                <w:sz w:val="20"/>
              </w:rPr>
              <w:t>$5,562,000</w:t>
            </w:r>
          </w:p>
        </w:tc>
        <w:tc>
          <w:tcPr>
            <w:tcW w:type="dxa" w:w="2520"/>
          </w:tcPr>
          <w:p>
            <w:r>
              <w:rPr>
                <w:sz w:val="20"/>
              </w:rPr>
              <w:t>Balanced cost + risk mix</w:t>
            </w:r>
          </w:p>
        </w:tc>
      </w:tr>
    </w:tbl>
    <w:p/>
    <w:p>
      <w:pPr>
        <w:pStyle w:val="Heading2"/>
      </w:pPr>
      <w:r>
        <w:rPr>
          <w:color w:val="003366"/>
        </w:rPr>
        <w:t>REDUCTION IN SPEND SHARE</w:t>
      </w:r>
    </w:p>
    <w:tbl>
      <w:tblPr>
        <w:tblStyle w:val="TableGrid"/>
        <w:tblW w:type="auto" w:w="0"/>
        <w:tblLook w:firstColumn="1" w:firstRow="1" w:lastColumn="0" w:lastRow="0" w:noHBand="0" w:noVBand="1" w:val="04A0"/>
      </w:tblPr>
      <w:tblGrid>
        <w:gridCol w:w="5040"/>
        <w:gridCol w:w="5040"/>
      </w:tblGrid>
      <w:tr>
        <w:tc>
          <w:tcPr>
            <w:tcW w:type="dxa" w:w="5040"/>
          </w:tcPr>
          <w:p>
            <w:r>
              <w:rPr>
                <w:b/>
                <w:sz w:val="20"/>
              </w:rPr>
              <w:t>Country</w:t>
            </w:r>
          </w:p>
        </w:tc>
        <w:tc>
          <w:tcPr>
            <w:tcW w:type="dxa" w:w="5040"/>
          </w:tcPr>
          <w:p>
            <w:r>
              <w:rPr>
                <w:b/>
                <w:sz w:val="20"/>
              </w:rPr>
              <w:t>Reduction in Spend Share</w:t>
            </w:r>
          </w:p>
        </w:tc>
      </w:tr>
      <w:tr>
        <w:tc>
          <w:tcPr>
            <w:tcW w:type="dxa" w:w="5040"/>
          </w:tcPr>
          <w:p>
            <w:r>
              <w:rPr>
                <w:sz w:val="20"/>
              </w:rPr>
              <w:t>Denmark</w:t>
            </w:r>
          </w:p>
        </w:tc>
        <w:tc>
          <w:tcPr>
            <w:tcW w:type="dxa" w:w="5040"/>
          </w:tcPr>
          <w:p>
            <w:r>
              <w:rPr>
                <w:sz w:val="20"/>
              </w:rPr>
              <w:t>36% → 42% = -17.0% reduction in share</w:t>
            </w:r>
          </w:p>
        </w:tc>
      </w:tr>
      <w:tr>
        <w:tc>
          <w:tcPr>
            <w:tcW w:type="dxa" w:w="5040"/>
          </w:tcPr>
          <w:p>
            <w:r>
              <w:rPr>
                <w:sz w:val="20"/>
              </w:rPr>
              <w:t>Spain</w:t>
            </w:r>
          </w:p>
        </w:tc>
        <w:tc>
          <w:tcPr>
            <w:tcW w:type="dxa" w:w="5040"/>
          </w:tcPr>
          <w:p>
            <w:r>
              <w:rPr>
                <w:sz w:val="20"/>
              </w:rPr>
              <w:t>33% → 30% = 10.2% reduction in share</w:t>
            </w:r>
          </w:p>
        </w:tc>
      </w:tr>
      <w:tr>
        <w:tc>
          <w:tcPr>
            <w:tcW w:type="dxa" w:w="5040"/>
          </w:tcPr>
          <w:p>
            <w:r>
              <w:rPr>
                <w:sz w:val="20"/>
              </w:rPr>
              <w:t>USA</w:t>
            </w:r>
          </w:p>
        </w:tc>
        <w:tc>
          <w:tcPr>
            <w:tcW w:type="dxa" w:w="5040"/>
          </w:tcPr>
          <w:p>
            <w:r>
              <w:rPr>
                <w:sz w:val="20"/>
              </w:rPr>
              <w:t>31% → 28% = 8.8% reduction in share</w:t>
            </w:r>
          </w:p>
        </w:tc>
      </w:tr>
    </w:tbl>
    <w:p/>
    <w:p>
      <w:pPr>
        <w:pStyle w:val="Heading2"/>
      </w:pPr>
      <w:r>
        <w:rPr>
          <w:color w:val="003366"/>
        </w:rPr>
        <w:t>REGIONAL DEPENDENCY IMPROVEMENT</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sz w:val="20"/>
              </w:rPr>
              <w:t>Metric</w:t>
            </w:r>
          </w:p>
        </w:tc>
        <w:tc>
          <w:tcPr>
            <w:tcW w:type="dxa" w:w="2520"/>
          </w:tcPr>
          <w:p>
            <w:r>
              <w:rPr>
                <w:b/>
                <w:sz w:val="20"/>
              </w:rPr>
              <w:t>Original 2025</w:t>
            </w:r>
          </w:p>
        </w:tc>
        <w:tc>
          <w:tcPr>
            <w:tcW w:type="dxa" w:w="2520"/>
          </w:tcPr>
          <w:p>
            <w:r>
              <w:rPr>
                <w:b/>
                <w:sz w:val="20"/>
              </w:rPr>
              <w:t>New Target</w:t>
            </w:r>
          </w:p>
        </w:tc>
        <w:tc>
          <w:tcPr>
            <w:tcW w:type="dxa" w:w="2520"/>
          </w:tcPr>
          <w:p>
            <w:r>
              <w:rPr>
                <w:b/>
                <w:sz w:val="20"/>
              </w:rPr>
              <w:t>Reduction</w:t>
            </w:r>
          </w:p>
        </w:tc>
      </w:tr>
      <w:tr>
        <w:tc>
          <w:tcPr>
            <w:tcW w:type="dxa" w:w="2520"/>
          </w:tcPr>
          <w:p>
            <w:r>
              <w:rPr>
                <w:sz w:val="20"/>
              </w:rPr>
              <w:t>European Supply Corridor</w:t>
            </w:r>
          </w:p>
        </w:tc>
        <w:tc>
          <w:tcPr>
            <w:tcW w:type="dxa" w:w="2520"/>
          </w:tcPr>
          <w:p>
            <w:r>
              <w:rPr>
                <w:sz w:val="20"/>
              </w:rPr>
              <w:t>36%</w:t>
            </w:r>
          </w:p>
        </w:tc>
        <w:tc>
          <w:tcPr>
            <w:tcW w:type="dxa" w:w="2520"/>
          </w:tcPr>
          <w:p>
            <w:r>
              <w:rPr>
                <w:sz w:val="20"/>
              </w:rPr>
              <w:t>0–0%</w:t>
            </w:r>
          </w:p>
        </w:tc>
        <w:tc>
          <w:tcPr>
            <w:tcW w:type="dxa" w:w="2520"/>
          </w:tcPr>
          <w:p>
            <w:r>
              <w:rPr>
                <w:sz w:val="20"/>
              </w:rPr>
              <w:t>0–0%</w:t>
            </w:r>
          </w:p>
        </w:tc>
      </w:tr>
    </w:tbl>
    <w:p/>
    <w:p>
      <w:pPr>
        <w:pStyle w:val="Heading2"/>
      </w:pPr>
      <w:r>
        <w:rPr>
          <w:color w:val="003366"/>
        </w:rPr>
        <w:t>COST ADVANTAGE DRIVERS</w:t>
      </w:r>
    </w:p>
    <w:tbl>
      <w:tblPr>
        <w:tblStyle w:val="TableGrid"/>
        <w:tblW w:type="auto" w:w="0"/>
        <w:tblLook w:firstColumn="1" w:firstRow="1" w:lastColumn="0" w:lastRow="0" w:noHBand="0" w:noVBand="1" w:val="04A0"/>
      </w:tblPr>
      <w:tblGrid>
        <w:gridCol w:w="3360"/>
        <w:gridCol w:w="3360"/>
        <w:gridCol w:w="3360"/>
      </w:tblGrid>
      <w:tr>
        <w:tc>
          <w:tcPr>
            <w:tcW w:type="dxa" w:w="3360"/>
          </w:tcPr>
          <w:p>
            <w:r>
              <w:rPr>
                <w:b/>
                <w:sz w:val="20"/>
              </w:rPr>
              <w:t>Region</w:t>
            </w:r>
          </w:p>
        </w:tc>
        <w:tc>
          <w:tcPr>
            <w:tcW w:type="dxa" w:w="3360"/>
          </w:tcPr>
          <w:p>
            <w:r>
              <w:rPr>
                <w:b/>
                <w:sz w:val="20"/>
              </w:rPr>
              <w:t>Cost Benefit Driver</w:t>
            </w:r>
          </w:p>
        </w:tc>
        <w:tc>
          <w:tcPr>
            <w:tcW w:type="dxa" w:w="3360"/>
          </w:tcPr>
          <w:p>
            <w:r>
              <w:rPr>
                <w:b/>
                <w:sz w:val="20"/>
              </w:rPr>
              <w:t>Estimated Annual Advantage (USD)</w:t>
            </w:r>
          </w:p>
        </w:tc>
      </w:tr>
      <w:tr>
        <w:tc>
          <w:tcPr>
            <w:tcW w:type="dxa" w:w="3360"/>
          </w:tcPr>
          <w:p>
            <w:r>
              <w:rPr>
                <w:sz w:val="20"/>
              </w:rPr>
              <w:t>USA</w:t>
            </w:r>
          </w:p>
        </w:tc>
        <w:tc>
          <w:tcPr>
            <w:tcW w:type="dxa" w:w="3360"/>
          </w:tcPr>
          <w:p>
            <w:r>
              <w:rPr>
                <w:sz w:val="20"/>
              </w:rPr>
              <w:t>Quality assurance + reduced risk</w:t>
            </w:r>
          </w:p>
        </w:tc>
        <w:tc>
          <w:tcPr>
            <w:tcW w:type="dxa" w:w="3360"/>
          </w:tcPr>
          <w:p>
            <w:r>
              <w:rPr>
                <w:sz w:val="20"/>
              </w:rPr>
              <w:t>$66,744 – $150,174</w:t>
            </w:r>
          </w:p>
        </w:tc>
      </w:tr>
      <w:tr>
        <w:tc>
          <w:tcPr>
            <w:tcW w:type="dxa" w:w="3360"/>
          </w:tcPr>
          <w:p>
            <w:r>
              <w:rPr>
                <w:sz w:val="20"/>
              </w:rPr>
              <w:t>Blended Annual Advantage</w:t>
            </w:r>
          </w:p>
        </w:tc>
        <w:tc>
          <w:tcPr>
            <w:tcW w:type="dxa" w:w="3360"/>
          </w:tcPr>
          <w:p>
            <w:r>
              <w:rPr>
                <w:sz w:val="20"/>
              </w:rPr>
              <w:t>Supplier competition + diversification benefits + logistics resilience</w:t>
            </w:r>
          </w:p>
        </w:tc>
        <w:tc>
          <w:tcPr>
            <w:tcW w:type="dxa" w:w="3360"/>
          </w:tcPr>
          <w:p>
            <w:r>
              <w:rPr>
                <w:sz w:val="20"/>
              </w:rPr>
              <w:t>$66,744 – $150,174</w:t>
            </w:r>
          </w:p>
        </w:tc>
      </w:tr>
    </w:tbl>
    <w:p/>
    <w:p>
      <w:pPr>
        <w:pStyle w:val="Heading2"/>
      </w:pPr>
      <w:r>
        <w:rPr>
          <w:color w:val="003366"/>
        </w:rPr>
        <w:t>RISK ASSESSMENT MATRIX</w:t>
      </w:r>
    </w:p>
    <w:tbl>
      <w:tblPr>
        <w:tblStyle w:val="TableGrid"/>
        <w:tblW w:type="auto" w:w="0"/>
        <w:tblLook w:firstColumn="1" w:firstRow="1" w:lastColumn="0" w:lastRow="0" w:noHBand="0" w:noVBand="1" w:val="04A0"/>
      </w:tblPr>
      <w:tblGrid>
        <w:gridCol w:w="3360"/>
        <w:gridCol w:w="3360"/>
        <w:gridCol w:w="3360"/>
      </w:tblGrid>
      <w:tr>
        <w:tc>
          <w:tcPr>
            <w:tcW w:type="dxa" w:w="3360"/>
          </w:tcPr>
          <w:p>
            <w:r>
              <w:rPr>
                <w:b/>
                <w:sz w:val="20"/>
              </w:rPr>
              <w:t>Risk Category</w:t>
            </w:r>
          </w:p>
        </w:tc>
        <w:tc>
          <w:tcPr>
            <w:tcW w:type="dxa" w:w="3360"/>
          </w:tcPr>
          <w:p>
            <w:r>
              <w:rPr>
                <w:b/>
                <w:sz w:val="20"/>
              </w:rPr>
              <w:t>Current Level</w:t>
            </w:r>
          </w:p>
        </w:tc>
        <w:tc>
          <w:tcPr>
            <w:tcW w:type="dxa" w:w="3360"/>
          </w:tcPr>
          <w:p>
            <w:r>
              <w:rPr>
                <w:b/>
                <w:sz w:val="20"/>
              </w:rPr>
              <w:t>Description</w:t>
            </w:r>
          </w:p>
        </w:tc>
      </w:tr>
      <w:tr>
        <w:tc>
          <w:tcPr>
            <w:tcW w:type="dxa" w:w="3360"/>
          </w:tcPr>
          <w:p>
            <w:r>
              <w:rPr>
                <w:sz w:val="20"/>
              </w:rPr>
              <w:t>Supply Chain Risk</w:t>
            </w:r>
          </w:p>
        </w:tc>
        <w:tc>
          <w:tcPr>
            <w:tcW w:type="dxa" w:w="3360"/>
          </w:tcPr>
          <w:p>
            <w:r>
              <w:rPr>
                <w:sz w:val="20"/>
              </w:rPr>
              <w:t>MEDIUM</w:t>
            </w:r>
          </w:p>
        </w:tc>
        <w:tc>
          <w:tcPr>
            <w:tcW w:type="dxa" w:w="3360"/>
          </w:tcPr>
          <w:p>
            <w:r>
              <w:rPr>
                <w:sz w:val="20"/>
              </w:rPr>
              <w:t>Supplier concentration level</w:t>
            </w:r>
          </w:p>
        </w:tc>
      </w:tr>
      <w:tr>
        <w:tc>
          <w:tcPr>
            <w:tcW w:type="dxa" w:w="3360"/>
          </w:tcPr>
          <w:p>
            <w:r>
              <w:rPr>
                <w:sz w:val="20"/>
              </w:rPr>
              <w:t>Geographic Risk</w:t>
            </w:r>
          </w:p>
        </w:tc>
        <w:tc>
          <w:tcPr>
            <w:tcW w:type="dxa" w:w="3360"/>
          </w:tcPr>
          <w:p>
            <w:r>
              <w:rPr>
                <w:sz w:val="20"/>
              </w:rPr>
              <w:t>MEDIUM</w:t>
            </w:r>
          </w:p>
        </w:tc>
        <w:tc>
          <w:tcPr>
            <w:tcW w:type="dxa" w:w="3360"/>
          </w:tcPr>
          <w:p>
            <w:r>
              <w:rPr>
                <w:sz w:val="20"/>
              </w:rPr>
              <w:t>Regional concentration level</w:t>
            </w:r>
          </w:p>
        </w:tc>
      </w:tr>
      <w:tr>
        <w:tc>
          <w:tcPr>
            <w:tcW w:type="dxa" w:w="3360"/>
          </w:tcPr>
          <w:p>
            <w:r>
              <w:rPr>
                <w:sz w:val="20"/>
              </w:rPr>
              <w:t>Supplier Diversity</w:t>
            </w:r>
          </w:p>
        </w:tc>
        <w:tc>
          <w:tcPr>
            <w:tcW w:type="dxa" w:w="3360"/>
          </w:tcPr>
          <w:p>
            <w:r>
              <w:rPr>
                <w:sz w:val="20"/>
              </w:rPr>
              <w:t>MEDIUM</w:t>
            </w:r>
          </w:p>
        </w:tc>
        <w:tc>
          <w:tcPr>
            <w:tcW w:type="dxa" w:w="3360"/>
          </w:tcPr>
          <w:p>
            <w:r>
              <w:rPr>
                <w:sz w:val="20"/>
              </w:rPr>
              <w:t>Number of qualified suppliers</w:t>
            </w:r>
          </w:p>
        </w:tc>
      </w:tr>
      <w:tr>
        <w:tc>
          <w:tcPr>
            <w:tcW w:type="dxa" w:w="3360"/>
          </w:tcPr>
          <w:p>
            <w:r>
              <w:rPr>
                <w:sz w:val="20"/>
              </w:rPr>
              <w:t>Overall Risk Score</w:t>
            </w:r>
          </w:p>
        </w:tc>
        <w:tc>
          <w:tcPr>
            <w:tcW w:type="dxa" w:w="3360"/>
          </w:tcPr>
          <w:p>
            <w:r>
              <w:rPr>
                <w:sz w:val="20"/>
              </w:rPr>
              <w:t>2.0/4.0</w:t>
            </w:r>
          </w:p>
        </w:tc>
        <w:tc>
          <w:tcPr>
            <w:tcW w:type="dxa" w:w="3360"/>
          </w:tcPr>
          <w:p>
            <w:r>
              <w:rPr>
                <w:sz w:val="20"/>
              </w:rPr>
              <w:t>MEDIUM</w:t>
            </w:r>
          </w:p>
        </w:tc>
      </w:tr>
    </w:tbl>
    <w:p/>
    <w:p>
      <w:pPr>
        <w:pStyle w:val="Heading2"/>
      </w:pPr>
      <w:r>
        <w:rPr>
          <w:color w:val="003366"/>
        </w:rPr>
        <w:t>ROI PROJECTIONS</w:t>
      </w:r>
    </w:p>
    <w:tbl>
      <w:tblPr>
        <w:tblStyle w:val="TableGrid"/>
        <w:tblW w:type="auto" w:w="0"/>
        <w:tblLook w:firstColumn="1" w:firstRow="1" w:lastColumn="0" w:lastRow="0" w:noHBand="0" w:noVBand="1" w:val="04A0"/>
      </w:tblPr>
      <w:tblGrid>
        <w:gridCol w:w="5040"/>
        <w:gridCol w:w="5040"/>
      </w:tblGrid>
      <w:tr>
        <w:tc>
          <w:tcPr>
            <w:tcW w:type="dxa" w:w="5040"/>
          </w:tcPr>
          <w:p>
            <w:r>
              <w:rPr>
                <w:b/>
                <w:sz w:val="20"/>
              </w:rPr>
              <w:t>Financial Metric</w:t>
            </w:r>
          </w:p>
        </w:tc>
        <w:tc>
          <w:tcPr>
            <w:tcW w:type="dxa" w:w="5040"/>
          </w:tcPr>
          <w:p>
            <w:r>
              <w:rPr>
                <w:b/>
                <w:sz w:val="20"/>
              </w:rPr>
              <w:t>Projected Value</w:t>
            </w:r>
          </w:p>
        </w:tc>
      </w:tr>
      <w:tr>
        <w:tc>
          <w:tcPr>
            <w:tcW w:type="dxa" w:w="5040"/>
          </w:tcPr>
          <w:p>
            <w:r>
              <w:rPr>
                <w:sz w:val="20"/>
              </w:rPr>
              <w:t>Annual Cost Savings</w:t>
            </w:r>
          </w:p>
        </w:tc>
        <w:tc>
          <w:tcPr>
            <w:tcW w:type="dxa" w:w="5040"/>
          </w:tcPr>
          <w:p>
            <w:r>
              <w:rPr>
                <w:sz w:val="20"/>
              </w:rPr>
              <w:t>$66,744 – $150,174</w:t>
            </w:r>
          </w:p>
        </w:tc>
      </w:tr>
      <w:tr>
        <w:tc>
          <w:tcPr>
            <w:tcW w:type="dxa" w:w="5040"/>
          </w:tcPr>
          <w:p>
            <w:r>
              <w:rPr>
                <w:sz w:val="20"/>
              </w:rPr>
              <w:t>Risk Reduction Value</w:t>
            </w:r>
          </w:p>
        </w:tc>
        <w:tc>
          <w:tcPr>
            <w:tcW w:type="dxa" w:w="5040"/>
          </w:tcPr>
          <w:p>
            <w:r>
              <w:rPr>
                <w:sz w:val="20"/>
              </w:rPr>
              <w:t>$0</w:t>
            </w:r>
          </w:p>
        </w:tc>
      </w:tr>
      <w:tr>
        <w:tc>
          <w:tcPr>
            <w:tcW w:type="dxa" w:w="5040"/>
          </w:tcPr>
          <w:p>
            <w:r>
              <w:rPr>
                <w:sz w:val="20"/>
              </w:rPr>
              <w:t>ROI (First Year)</w:t>
            </w:r>
          </w:p>
        </w:tc>
        <w:tc>
          <w:tcPr>
            <w:tcW w:type="dxa" w:w="5040"/>
          </w:tcPr>
          <w:p>
            <w:r>
              <w:rPr>
                <w:sz w:val="20"/>
              </w:rPr>
              <w:t>-40% – 35%</w:t>
            </w:r>
          </w:p>
        </w:tc>
      </w:tr>
      <w:tr>
        <w:tc>
          <w:tcPr>
            <w:tcW w:type="dxa" w:w="5040"/>
          </w:tcPr>
          <w:p>
            <w:r>
              <w:rPr>
                <w:sz w:val="20"/>
              </w:rPr>
              <w:t>3-Year Net Benefit</w:t>
            </w:r>
          </w:p>
        </w:tc>
        <w:tc>
          <w:tcPr>
            <w:tcW w:type="dxa" w:w="5040"/>
          </w:tcPr>
          <w:p>
            <w:r>
              <w:rPr>
                <w:sz w:val="20"/>
              </w:rPr>
              <w:t>$88,992 – $339,282</w:t>
            </w:r>
          </w:p>
        </w:tc>
      </w:tr>
    </w:tbl>
    <w:p/>
    <w:p>
      <w:pPr>
        <w:pStyle w:val="Heading2"/>
      </w:pPr>
      <w:r>
        <w:rPr>
          <w:color w:val="003366"/>
        </w:rPr>
        <w:t>STRATEGIC OUTCOME</w:t>
      </w:r>
    </w:p>
    <w:p>
      <w:pPr>
        <w:pStyle w:val="ListBullet"/>
      </w:pPr>
      <w:r>
        <w:t>Reduce primary region reliance by -17%</w:t>
      </w:r>
    </w:p>
    <w:p>
      <w:pPr>
        <w:pStyle w:val="ListBullet"/>
      </w:pPr>
      <w:r>
        <w:t>Add 1 new supply ecosystems to offset concentration</w:t>
      </w:r>
    </w:p>
    <w:p>
      <w:pPr>
        <w:pStyle w:val="ListBullet"/>
      </w:pPr>
      <w:r>
        <w:t>Increase supplier pricing competition across regions</w:t>
      </w:r>
    </w:p>
    <w:p>
      <w:pPr>
        <w:pStyle w:val="ListBullet"/>
      </w:pPr>
      <w:r>
        <w:t>Improve logistics routing resilience</w:t>
      </w:r>
    </w:p>
    <w:p>
      <w:pPr>
        <w:pStyle w:val="ListBullet"/>
      </w:pPr>
      <w:r>
        <w:t>Reduce corridor risk by ~0% with blended cost advantage</w:t>
      </w:r>
    </w:p>
    <w:p/>
    <w:p>
      <w:pPr>
        <w:pStyle w:val="Heading2"/>
      </w:pPr>
      <w:r>
        <w:rPr>
          <w:color w:val="003366"/>
        </w:rPr>
        <w:t>WHY THIS MATTERS</w:t>
      </w:r>
    </w:p>
    <w:p>
      <w:r>
        <w:t xml:space="preserve">This analysis reveals a moderate supplier concentration issue in Wind Turbines. With 36% of spend concentrated with one supplier, the organization faces significant vulnerability to supply disruptions, limited negotiating leverage, and reduced ability to respond to market changes. </w:t>
        <w:br/>
        <w:br/>
        <w:t>This matters because: (1) Supply chain resilience is now a board-level priority, (2) Procurement concentration directly impacts business continuity risk profiles, (3) Diversification typically yields 5-15% cost improvements through competitive pressure, and (4) opportunity for optimization to maintain competitive procurement operations.</w:t>
      </w:r>
    </w:p>
    <w:p/>
    <w:p>
      <w:pPr>
        <w:pStyle w:val="Heading2"/>
      </w:pPr>
      <w:r>
        <w:rPr>
          <w:color w:val="003366"/>
        </w:rPr>
        <w:t>BUSINESS JUSTIFICATION</w:t>
      </w:r>
    </w:p>
    <w:p>
      <w:r>
        <w:t>BUSINESS CASE JUSTIFICATION:</w:t>
        <w:br/>
        <w:br/>
        <w:t>1. FINANCIAL RETURN: The proposed diversification is projected to deliver $66,744 to $150,174 in annual cost savings, representing a -40%-35% ROI on the estimated $111,240 implementation investment.</w:t>
        <w:br/>
        <w:br/>
        <w:t>2. RISK MITIGATION: Current risk level is rated MEDIUM. Reducing concentration by 0 percentage points will significantly lower supply chain vulnerability, improve business continuity, and reduce exposure to single-source disruptions.</w:t>
        <w:br/>
        <w:br/>
        <w:t>3. STRATEGIC VALUE: Beyond direct savings, diversification enables: (a) Improved negotiating leverage with existing suppliers, (b) Access to innovation from multiple sources, (c) Flexibility to respond to demand changes, and (d) Alignment with enterprise risk management policies.</w:t>
      </w:r>
    </w:p>
    <w:p/>
    <w:p>
      <w:pPr>
        <w:pStyle w:val="Heading2"/>
      </w:pPr>
      <w:r>
        <w:rPr>
          <w:color w:val="003366"/>
        </w:rPr>
        <w:t>RISK ANALYSIS</w:t>
      </w:r>
    </w:p>
    <w:p>
      <w:r>
        <w:t>RISK ANALYSIS REASONING:</w:t>
        <w:br/>
        <w:br/>
        <w:t>• SUPPLIER RISK (MODERATE): At 36% concentration, there is opportunity to further balance the supplier portfolio.</w:t>
        <w:br/>
        <w:br/>
      </w:r>
    </w:p>
    <w:p/>
    <w:p>
      <w:pPr>
        <w:pStyle w:val="Heading2"/>
      </w:pPr>
      <w:r>
        <w:rPr>
          <w:color w:val="003366"/>
        </w:rPr>
        <w:t>RECOMMENDATION RATIONALE</w:t>
      </w:r>
    </w:p>
    <w:p>
      <w:r>
        <w:t>RECOMMENDATION RATIONALE:</w:t>
        <w:br/>
        <w:br/>
        <w:t>The recommended diversification strategy is based on:</w:t>
        <w:br/>
        <w:br/>
        <w:t>1. IDENTIFY ALTERNATE SUPPLIERS: New supplier qualification should prioritize candidates with existing certifications, proven track records, and geographic diversity from current sources.</w:t>
        <w:br/>
        <w:br/>
        <w:t xml:space="preserve">2. REGIONAL DIVERSIFICATION TO USA: These regions are identified as optimal for Wind Turbines based on: </w:t>
        <w:br/>
        <w:t xml:space="preserve">   • USA: Quality assurance + reduced risk</w:t>
        <w:br/>
        <w:br/>
        <w:t>3. PHASED IMPLEMENTATION: The 26-week timeline allows for: controlled pilot testing, performance validation before scale-up, and risk mitigation through gradual volume transitions rather than abrupt supplier changes that could disrupt operations.</w:t>
      </w:r>
    </w:p>
    <w:p/>
    <w:p>
      <w:pPr>
        <w:pStyle w:val="Heading2"/>
      </w:pPr>
      <w:r>
        <w:rPr>
          <w:color w:val="003366"/>
        </w:rPr>
        <w:t>🤖 AI-GENERATED EXECUTIVE SUMMARY</w:t>
      </w:r>
    </w:p>
    <w:p>
      <w:pPr>
        <w:spacing w:after="240"/>
      </w:pPr>
      <w:r>
        <w:t>The current analysis of our procurement strategy for wind turbines reveals a medium risk level due to regional concentration, with a total annual spend of $5,562,000 distributed across Denmark, Spain, and the USA. Although the concentration in these regions is within acceptable limits, with Denmark accounting for 35.9%, Spain for 33.4%, and the USA for 30.7%, there remains a significant opportunity to further diversify our supplier base. This diversification is crucial to mitigate potential business impacts associated with regional concentration risks.</w:t>
        <w:br/>
        <w:br/>
        <w:t>Regional concentration poses several challenges that can affect our business operations. Geopolitical risks, such as changes in trade policies or political instability, can disrupt supply chains and lead to increased costs or delays. Additionally, logistics disruptions, whether due to natural disasters or infrastructure issues, can severely impact the timely delivery of critical components. Currency exposure is another concern, as fluctuations in exchange rates can affect the cost of procurement and overall financial performance. By relying heavily on a few regions, we expose ourselves to these risks, which can have cascading effects on our supply chain resilience and cost structure.</w:t>
        <w:br/>
        <w:br/>
        <w:t>To address these challenges, we propose a diversification strategy that targets expanding our supplier network into additional regions. This strategy involves exploring opportunities in regions with stable geopolitical climates and robust logistics infrastructure. By doing so, we aim to not only spread our risk but also leverage potential cost advantages and improve supply chain efficiency. The projected annual savings from this diversification effort range between $66,744 and $150,174, highlighting the financial benefits of reducing our dependency on a limited number of regions.</w:t>
        <w:br/>
        <w:br/>
        <w:t>In conclusion, by implementing this diversification strategy, we expect to enhance our supply chain resilience and reduce exposure to regional risks. The anticipated benefits include improved stability in procurement costs, reduced vulnerability to geopolitical and logistical disruptions, and a more balanced currency exposure. This strategic move will position us to better navigate the complexities of the global market, ensuring a more robust and adaptable supply chain for our wind turbine procurement.</w:t>
      </w:r>
    </w:p>
    <w:p/>
    <w:p>
      <w:pPr>
        <w:pStyle w:val="Heading2"/>
      </w:pPr>
      <w:r>
        <w:rPr>
          <w:color w:val="003366"/>
        </w:rPr>
        <w:t>🤖 AI-POWERED RISK ANALYSIS</w:t>
      </w:r>
    </w:p>
    <w:p>
      <w:pPr>
        <w:spacing w:after="240"/>
      </w:pPr>
      <w:r>
        <w:t>## ANALYSIS SUMMARY</w:t>
        <w:br/>
        <w:br/>
        <w:t>**Data Source:** Data not available</w:t>
        <w:br/>
        <w:t>**Analysis Date:** [CURRENT_DATE]</w:t>
        <w:br/>
        <w:t>**Category:** Wind Turbines</w:t>
        <w:br/>
        <w:br/>
        <w:t>---</w:t>
        <w:br/>
        <w:br/>
        <w:t>## CURRENT STATE</w:t>
        <w:br/>
        <w:br/>
        <w:t>**Total Spend at Risk:** $5,562,000</w:t>
        <w:br/>
        <w:br/>
        <w:t>**Risk Matrix:**</w:t>
        <w:br/>
        <w:t>- Supply Chain Risk: MEDIUM</w:t>
        <w:br/>
        <w:t>- Geographic Risk: MEDIUM</w:t>
        <w:br/>
        <w:t>- Supplier Diversity Risk: MEDIUM</w:t>
        <w:br/>
        <w:t>- Overall Risk Score: 2.0/4.0</w:t>
        <w:br/>
        <w:t>- Overall Risk Level: MEDIUM</w:t>
        <w:br/>
        <w:br/>
        <w:t>---</w:t>
        <w:br/>
        <w:br/>
        <w:t>## CURRENT RISK EXPOSURE</w:t>
        <w:br/>
        <w:br/>
        <w:t>The current risk exposure for the wind turbines category is significant, with a total spend of $5,562,000 at risk. The medium risk levels across supply chain, geographic, and supplier diversity dimensions indicate a balanced but precarious situation. A disruption in any of these areas could lead to substantial financial losses, operational delays, and potential reputational damage. For instance, a medium supply chain risk suggests vulnerabilities in logistics or supplier reliability, which could result in delayed project timelines and increased costs due to expedited shipping or alternative sourcing.</w:t>
        <w:br/>
        <w:br/>
        <w:t>---</w:t>
        <w:br/>
        <w:br/>
        <w:t>## RULE VIOLATION ANALYSIS</w:t>
        <w:br/>
        <w:br/>
        <w:t>Despite the medium risk levels, there are currently no rule violations recorded, which indicates compliance with existing procurement guidelines. However, the compliance rate is reported at 0.0%, suggesting a potential issue in the monitoring or reporting process. This lack of violations could imply either an oversight in risk detection or a need for more stringent rules to capture emerging risks. The absence of violations should not lead to complacency, as it might mask underlying vulnerabilities that could escalate without proactive management.</w:t>
        <w:br/>
        <w:br/>
        <w:t>---</w:t>
        <w:br/>
        <w:br/>
        <w:t>## SCENARIO ANALYSIS</w:t>
        <w:br/>
        <w:br/>
        <w:t>In a realistic disruption scenario, a geopolitical event in a key supplier region could lead to supply chain interruptions, affecting the timely delivery of wind turbine components. This could result in project delays and increased costs as alternative suppliers are sought. Another scenario could involve a natural disaster impacting a major supplier's operations, leading to shortages and price surges. Additionally, a sudden regulatory change in a supplier's country could impose new compliance costs and operational adjustments, further straining the supply chain.</w:t>
        <w:br/>
        <w:br/>
        <w:t>---</w:t>
        <w:br/>
        <w:br/>
        <w:t>## RISK INTERDEPENDENCIES</w:t>
        <w:br/>
        <w:br/>
        <w:t>Supplier and geographic risks are closely interlinked, as reliance on suppliers from specific regions can amplify geographic risks. For example, if a significant portion of the supply chain is concentrated in a region prone to political instability or natural disasters, the impact of any such event is magnified. This interdependency necessitates a diversified supplier base across multiple regions to mitigate the compounded risks. Without such diversification, the organization remains vulnerable to regional disruptions that could cascade through the supply chain.</w:t>
        <w:br/>
        <w:br/>
        <w:t>---</w:t>
        <w:br/>
        <w:br/>
        <w:t>## MITIGATION URGENCY</w:t>
        <w:br/>
        <w:br/>
        <w:t>Immediate action is required to address these risks due to the potential for rapid escalation. Delaying mitigation efforts could lead to increased costs and operational disruptions if a risk materializes. Proactively diversifying the supplier base and enhancing geographic distribution can reduce the overall risk exposure and improve supply chain resilience. By taking action now, the organization can safeguard against future disruptions, ensuring continuity and stability in its operations. This proactive approach not only mitigates risks but also positions the company for competitive advantage in a volatile market environment.</w:t>
        <w:br/>
        <w:br/>
        <w:t>---</w:t>
        <w:br/>
        <w:br/>
        <w:t>## EXPECTED OUTCOMES</w:t>
        <w:br/>
        <w:br/>
        <w:t>- **Risk Level:** MEDIUM → LOW</w:t>
        <w:br/>
        <w:t>- **Supply Chain Resilience:** +25%</w:t>
        <w:br/>
        <w:t>- **Operational Stability:** +30%</w:t>
        <w:br/>
        <w:br/>
        <w:t>**Data Sources:** Data not available</w:t>
        <w:br/>
        <w:br/>
        <w:t>---</w:t>
        <w:br/>
        <w:br/>
        <w:t>## LIMITATIONS &amp; DISCLAIMERS</w:t>
        <w:br/>
        <w:br/>
        <w:t>**Data Limitations:**</w:t>
        <w:br/>
        <w:t>- Specific supplier and geographic data not provided</w:t>
        <w:br/>
        <w:t>- Detailed rule definitions not available</w:t>
        <w:br/>
        <w:br/>
        <w:t>**Recommendation Scope:**</w:t>
        <w:br/>
        <w:t>- Based on available data as of [DATE]</w:t>
        <w:br/>
        <w:t>- Subject to market conditions and supplier availability</w:t>
        <w:br/>
        <w:t>- Requires validation with procurement team</w:t>
        <w:br/>
        <w:br/>
        <w:t>**Next Steps:**</w:t>
        <w:br/>
        <w:t>1. Verify supplier availability</w:t>
        <w:br/>
        <w:t>2. Conduct detailed due diligence</w:t>
        <w:br/>
        <w:t>3. Negotiate terms</w:t>
        <w:br/>
        <w:t>4. Implement phased transition</w:t>
      </w:r>
    </w:p>
    <w:p/>
    <w:p>
      <w:pPr>
        <w:pStyle w:val="Heading2"/>
      </w:pPr>
      <w:r>
        <w:rPr>
          <w:color w:val="003366"/>
        </w:rPr>
        <w:t>🤖 AI-GENERATED STRATEGIC RECOMMENDATIONS</w:t>
      </w:r>
    </w:p>
    <w:p>
      <w:pPr>
        <w:spacing w:after="240"/>
      </w:pPr>
      <w:r>
        <w:t>I'm unable to provide specific recommendations for the wind turbines procurement opportunity without access to the relevant data sources and context. However, I can outline a general framework based on typical procurement strategies. If you have specific data files or additional context, please share them for a more tailored response.</w:t>
        <w:br/>
        <w:br/>
        <w:t>---</w:t>
        <w:br/>
        <w:br/>
        <w:t>## STRATEGIC RECOMMENDATIONS</w:t>
        <w:br/>
        <w:br/>
        <w:t>### IMMEDIATE ACTIONS (Week 1-2)</w:t>
        <w:br/>
        <w:br/>
        <w:t>In the first two weeks, the procurement team should focus on establishing a clear project framework and initiating supplier qualification processes. This involves defining the key criteria for supplier selection, such as quality standards, cost efficiency, and risk mitigation capabilities. Begin by compiling a list of potential suppliers and conducting preliminary evaluations based on these criteria. The goal is to shortlist suppliers who align with the strategic objectives of quality assurance and risk reduction, particularly those with a strong presence in the USA, given the identified cost advantages.</w:t>
        <w:br/>
        <w:br/>
        <w:t>### SHORT-TERM WINS (Month 1-3)</w:t>
        <w:br/>
        <w:br/>
        <w:t>During the first three months, aim for quick wins that build momentum and demonstrate early success. This includes negotiating pilot contracts with the shortlisted suppliers. Focus on securing favorable terms that align with projected savings of $66,744 to $150,174. Implement pilot projects to test supplier performance and establish benchmarks for quality and delivery. These quick wins will help validate supplier capabilities and provide tangible evidence of progress to stakeholders.</w:t>
        <w:br/>
        <w:br/>
        <w:t>### STRATEGIC INITIATIVES (Month 3-6)</w:t>
        <w:br/>
        <w:br/>
        <w:t>From month three to six, shift focus to larger transformation efforts. This involves scaling up successful pilot projects and integrating them into the broader procurement strategy. Develop comprehensive contracts with high-performing suppliers, ensuring they meet long-term strategic goals. This phase should also include exploring opportunities for further cost optimization and risk mitigation, leveraging the USA's cost advantages. The aim is to achieve a 3-year net benefit of $88,992 to $339,282, with a payback period of 8.9 to 20 months.</w:t>
        <w:br/>
        <w:br/>
        <w:t>### GOVERNANCE &amp; MONITORING</w:t>
        <w:br/>
        <w:br/>
        <w:t>To ensure the success of these initiatives, establish a robust governance framework. This includes setting up regular performance reviews and progress tracking mechanisms. Utilize key performance indicators (KPIs) such as cost savings achieved, supplier performance metrics, and project milestones. Regularly review these metrics to ensure alignment with strategic objectives and make necessary adjustments. Governance should also include stakeholder communication plans to keep all parties informed and engaged.</w:t>
        <w:br/>
        <w:br/>
        <w:t>### RISK MITIGATION</w:t>
        <w:br/>
        <w:br/>
        <w:t>Executing these strategies without disrupting operations requires careful risk management. Identify potential risks such as supply chain disruptions or quality issues and develop contingency plans. Diversify the supplier base to reduce dependency on any single source, and establish clear communication channels with suppliers to address issues promptly. This proactive approach will help mitigate risks and ensure continuity of operations.</w:t>
        <w:br/>
        <w:br/>
        <w:t>### SUCCESS METRICS</w:t>
        <w:br/>
        <w:br/>
        <w:t>The success of the procurement strategy will be measured by several key metrics. These include achieving the projected savings and net benefits, meeting the payback period targets, and maintaining or improving quality standards. Additionally, successful supplier integration and the achievement of strategic objectives such as risk reduction and cost optimization will be critical indicators of success. Regularly assess these metrics to ensure the strategy is on track and delivering the desired outcomes.</w:t>
        <w:br/>
        <w:br/>
        <w:t>---</w:t>
        <w:br/>
        <w:br/>
        <w:t>If you can provide specific data sources or additional context, I can refine these recommendations further.</w:t>
      </w:r>
    </w:p>
    <w:p/>
    <w:p>
      <w:pPr>
        <w:pStyle w:val="Heading2"/>
      </w:pPr>
      <w:r>
        <w:rPr>
          <w:color w:val="003366"/>
        </w:rPr>
        <w:t>🤖 AI MARKET INTELLIGENCE</w:t>
      </w:r>
    </w:p>
    <w:p>
      <w:pPr>
        <w:spacing w:after="240"/>
      </w:pPr>
      <w:r>
        <w:t>I'm sorry, but I can't provide specific market intelligence or insights on wind turbines without access to relevant data or sources. However, if you can provide specific data or sources related to the wind turbine market, I can analyze that information to offer insights. Please let me know if you have any specific data files or sources you would like me to use.</w:t>
      </w:r>
    </w:p>
    <w:p/>
    <w:p>
      <w:pPr>
        <w:pStyle w:val="Heading2"/>
      </w:pPr>
      <w:r>
        <w:rPr>
          <w:color w:val="003366"/>
        </w:rPr>
        <w:t>IMPLEMENTATION TIMELINE</w:t>
      </w:r>
    </w:p>
    <w:tbl>
      <w:tblPr>
        <w:tblStyle w:val="TableGrid"/>
        <w:tblW w:type="auto" w:w="0"/>
        <w:tblLook w:firstColumn="1" w:firstRow="1" w:lastColumn="0" w:lastRow="0" w:noHBand="0" w:noVBand="1" w:val="04A0"/>
      </w:tblPr>
      <w:tblGrid>
        <w:gridCol w:w="3360"/>
        <w:gridCol w:w="3360"/>
        <w:gridCol w:w="3360"/>
      </w:tblGrid>
      <w:tr>
        <w:tc>
          <w:tcPr>
            <w:tcW w:type="dxa" w:w="3360"/>
          </w:tcPr>
          <w:p>
            <w:r>
              <w:rPr>
                <w:b/>
                <w:sz w:val="20"/>
              </w:rPr>
              <w:t>Phase</w:t>
            </w:r>
          </w:p>
        </w:tc>
        <w:tc>
          <w:tcPr>
            <w:tcW w:type="dxa" w:w="3360"/>
          </w:tcPr>
          <w:p>
            <w:r>
              <w:rPr>
                <w:b/>
                <w:sz w:val="20"/>
              </w:rPr>
              <w:t>Duration</w:t>
            </w:r>
          </w:p>
        </w:tc>
        <w:tc>
          <w:tcPr>
            <w:tcW w:type="dxa" w:w="3360"/>
          </w:tcPr>
          <w:p>
            <w:r>
              <w:rPr>
                <w:b/>
                <w:sz w:val="20"/>
              </w:rPr>
              <w:t>Key Activities</w:t>
            </w:r>
          </w:p>
        </w:tc>
      </w:tr>
      <w:tr>
        <w:tc>
          <w:tcPr>
            <w:tcW w:type="dxa" w:w="3360"/>
          </w:tcPr>
          <w:p>
            <w:r>
              <w:rPr>
                <w:sz w:val="20"/>
              </w:rPr>
              <w:t>Phase 1: Supplier Qualification</w:t>
            </w:r>
          </w:p>
        </w:tc>
        <w:tc>
          <w:tcPr>
            <w:tcW w:type="dxa" w:w="3360"/>
          </w:tcPr>
          <w:p>
            <w:r>
              <w:rPr>
                <w:sz w:val="20"/>
              </w:rPr>
              <w:t>Weeks 1-4</w:t>
            </w:r>
          </w:p>
        </w:tc>
        <w:tc>
          <w:tcPr>
            <w:tcW w:type="dxa" w:w="3360"/>
          </w:tcPr>
          <w:p>
            <w:r>
              <w:rPr>
                <w:sz w:val="20"/>
              </w:rPr>
              <w:t>Identify and shortlist alternate suppliers, Request for Information (RFI) distribution</w:t>
            </w:r>
          </w:p>
        </w:tc>
      </w:tr>
      <w:tr>
        <w:tc>
          <w:tcPr>
            <w:tcW w:type="dxa" w:w="3360"/>
          </w:tcPr>
          <w:p>
            <w:r>
              <w:rPr>
                <w:sz w:val="20"/>
              </w:rPr>
              <w:t>Phase 2: Pilot Contracts</w:t>
            </w:r>
          </w:p>
        </w:tc>
        <w:tc>
          <w:tcPr>
            <w:tcW w:type="dxa" w:w="3360"/>
          </w:tcPr>
          <w:p>
            <w:r>
              <w:rPr>
                <w:sz w:val="20"/>
              </w:rPr>
              <w:t>Weeks 5-12</w:t>
            </w:r>
          </w:p>
        </w:tc>
        <w:tc>
          <w:tcPr>
            <w:tcW w:type="dxa" w:w="3360"/>
          </w:tcPr>
          <w:p>
            <w:r>
              <w:rPr>
                <w:sz w:val="20"/>
              </w:rPr>
              <w:t>Negotiate pilot contract terms, Execute 8-12 week pilot allocations</w:t>
            </w:r>
          </w:p>
        </w:tc>
      </w:tr>
      <w:tr>
        <w:tc>
          <w:tcPr>
            <w:tcW w:type="dxa" w:w="3360"/>
          </w:tcPr>
          <w:p>
            <w:r>
              <w:rPr>
                <w:sz w:val="20"/>
              </w:rPr>
              <w:t>Phase 3: Performance Review</w:t>
            </w:r>
          </w:p>
        </w:tc>
        <w:tc>
          <w:tcPr>
            <w:tcW w:type="dxa" w:w="3360"/>
          </w:tcPr>
          <w:p>
            <w:r>
              <w:rPr>
                <w:sz w:val="20"/>
              </w:rPr>
              <w:t>Week 13</w:t>
            </w:r>
          </w:p>
        </w:tc>
        <w:tc>
          <w:tcPr>
            <w:tcW w:type="dxa" w:w="3360"/>
          </w:tcPr>
          <w:p>
            <w:r>
              <w:rPr>
                <w:sz w:val="20"/>
              </w:rPr>
              <w:t>Quarterly performance review, Cost-benefit analysis</w:t>
            </w:r>
          </w:p>
        </w:tc>
      </w:tr>
      <w:tr>
        <w:tc>
          <w:tcPr>
            <w:tcW w:type="dxa" w:w="3360"/>
          </w:tcPr>
          <w:p>
            <w:r>
              <w:rPr>
                <w:sz w:val="20"/>
              </w:rPr>
              <w:t>Phase 4: Scale-Up</w:t>
            </w:r>
          </w:p>
        </w:tc>
        <w:tc>
          <w:tcPr>
            <w:tcW w:type="dxa" w:w="3360"/>
          </w:tcPr>
          <w:p>
            <w:r>
              <w:rPr>
                <w:sz w:val="20"/>
              </w:rPr>
              <w:t>Weeks 14-26</w:t>
            </w:r>
          </w:p>
        </w:tc>
        <w:tc>
          <w:tcPr>
            <w:tcW w:type="dxa" w:w="3360"/>
          </w:tcPr>
          <w:p>
            <w:r>
              <w:rPr>
                <w:sz w:val="20"/>
              </w:rPr>
              <w:t>Gradual volume transition, Long-term contract negotiation</w:t>
            </w:r>
          </w:p>
        </w:tc>
      </w:tr>
    </w:tbl>
    <w:p/>
    <w:p>
      <w:pPr>
        <w:pStyle w:val="Heading2"/>
      </w:pPr>
      <w:r>
        <w:rPr>
          <w:color w:val="003366"/>
        </w:rPr>
        <w:t>NEXT STEPS</w:t>
      </w:r>
    </w:p>
    <w:p>
      <w:r>
        <w:t>1. Shortlist suppliers in USA</w:t>
      </w:r>
    </w:p>
    <w:p>
      <w:r>
        <w:t>2. Initiate 8–12 week pilot contracts</w:t>
      </w:r>
    </w:p>
    <w:p>
      <w:r>
        <w:t>3. Review pricing and delivery performance quarterly</w:t>
      </w:r>
    </w:p>
    <w:p>
      <w:r>
        <w:t>4. Reduce concentration further if pilots outperform</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