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SOLAR PANELS DIVERSIFICATION</w:t>
      </w:r>
    </w:p>
    <w:p>
      <w:pPr>
        <w:jc w:val="center"/>
      </w:pPr>
      <w:r>
        <w:rPr>
          <w:i/>
          <w:sz w:val="22"/>
        </w:rPr>
        <w:t>Supplier Concentration Analysis &amp; Diversification Strategy</w:t>
      </w:r>
    </w:p>
    <w:p>
      <w:pPr>
        <w:jc w:val="center"/>
      </w:pPr>
      <w:r>
        <w:rPr>
          <w:b/>
          <w:sz w:val="24"/>
        </w:rPr>
        <w:t>Total Category Spend 2026: USD 9,734,000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Eco Power International</w:t>
            </w:r>
          </w:p>
        </w:tc>
      </w:tr>
      <w:tr>
        <w:tc>
          <w:tcPr>
            <w:tcW w:type="dxa" w:w="5040"/>
          </w:tcPr>
          <w:p>
            <w:r>
              <w:rPr>
                <w:sz w:val="20"/>
              </w:rPr>
              <w:t>Supplier Location</w:t>
            </w:r>
          </w:p>
        </w:tc>
        <w:tc>
          <w:tcPr>
            <w:tcW w:type="dxa" w:w="5040"/>
          </w:tcPr>
          <w:p>
            <w:r>
              <w:rPr>
                <w:sz w:val="20"/>
              </w:rPr>
              <w:t>Peru</w:t>
            </w:r>
          </w:p>
        </w:tc>
      </w:tr>
      <w:tr>
        <w:tc>
          <w:tcPr>
            <w:tcW w:type="dxa" w:w="5040"/>
          </w:tcPr>
          <w:p>
            <w:r>
              <w:rPr>
                <w:sz w:val="20"/>
              </w:rPr>
              <w:t>Spend Share</w:t>
            </w:r>
          </w:p>
        </w:tc>
        <w:tc>
          <w:tcPr>
            <w:tcW w:type="dxa" w:w="5040"/>
          </w:tcPr>
          <w:p>
            <w:r>
              <w:rPr>
                <w:sz w:val="20"/>
              </w:rPr>
              <w:t>23% = USD 2,243,600</w:t>
            </w:r>
          </w:p>
        </w:tc>
      </w:tr>
      <w:tr>
        <w:tc>
          <w:tcPr>
            <w:tcW w:type="dxa" w:w="5040"/>
          </w:tcPr>
          <w:p>
            <w:r>
              <w:rPr>
                <w:sz w:val="20"/>
              </w:rPr>
              <w:t>Current Solar Panels Buying from Supplier</w:t>
            </w:r>
          </w:p>
        </w:tc>
        <w:tc>
          <w:tcPr>
            <w:tcW w:type="dxa" w:w="5040"/>
          </w:tcPr>
          <w:p>
            <w:r>
              <w:rPr>
                <w:sz w:val="20"/>
              </w:rPr>
              <w:t>Yes</w:t>
            </w:r>
          </w:p>
        </w:tc>
      </w:tr>
      <w:tr>
        <w:tc>
          <w:tcPr>
            <w:tcW w:type="dxa" w:w="5040"/>
          </w:tcPr>
          <w:p>
            <w:r>
              <w:rPr>
                <w:sz w:val="20"/>
              </w:rPr>
              <w:t>Alternate Supplier for Solar Panels</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Americas with 6 suppliers</w:t>
            </w:r>
          </w:p>
        </w:tc>
      </w:tr>
    </w:tbl>
    <w:p/>
    <w:p>
      <w:pPr>
        <w:pStyle w:val="Heading3"/>
      </w:pPr>
      <w:r>
        <w:rPr>
          <w:color w:val="003366"/>
        </w:rPr>
        <w:t>OVERALL RISK STATEMENT</w:t>
      </w:r>
    </w:p>
    <w:p>
      <w:pPr>
        <w:spacing w:after="240"/>
      </w:pPr>
      <w:r>
        <w:t xml:space="preserve">Our current solar panels procurement involves 6 suppliers, with Eco Power International as the dominant supplier at 23% of total category spend (USD 2,243,600 of USD 9,734,000 in 2026). Other suppliers include: First Solar (21%), Canadian Solar (18%), Clean Energy Solutions (14%). All suppliers operate from Peru. There are no other qualified Solar Panels suppliers in our approved supplier database. New supplier qualification will be required for diversification.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Eco Power International</w:t>
            </w:r>
          </w:p>
        </w:tc>
        <w:tc>
          <w:tcPr>
            <w:tcW w:type="dxa" w:w="2520"/>
          </w:tcPr>
          <w:p>
            <w:r>
              <w:rPr>
                <w:sz w:val="20"/>
              </w:rPr>
              <w:t>23%</w:t>
            </w:r>
          </w:p>
        </w:tc>
        <w:tc>
          <w:tcPr>
            <w:tcW w:type="dxa" w:w="2520"/>
          </w:tcPr>
          <w:p>
            <w:r>
              <w:rPr>
                <w:sz w:val="20"/>
              </w:rPr>
              <w:t>40%</w:t>
            </w:r>
          </w:p>
        </w:tc>
        <w:tc>
          <w:tcPr>
            <w:tcW w:type="dxa" w:w="2520"/>
          </w:tcPr>
          <w:p>
            <w:r>
              <w:rPr>
                <w:sz w:val="20"/>
              </w:rPr>
              <w:t>23% → 40% = -73.9%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23%</w:t>
            </w:r>
          </w:p>
        </w:tc>
        <w:tc>
          <w:tcPr>
            <w:tcW w:type="dxa" w:w="2520"/>
          </w:tcPr>
          <w:p>
            <w:r>
              <w:rPr>
                <w:sz w:val="20"/>
              </w:rPr>
              <w:t>40–50%</w:t>
            </w:r>
          </w:p>
        </w:tc>
        <w:tc>
          <w:tcPr>
            <w:tcW w:type="dxa" w:w="2520"/>
          </w:tcPr>
          <w:p>
            <w:r>
              <w:rPr>
                <w:sz w:val="20"/>
              </w:rPr>
              <w:t>-27–-17%</w:t>
            </w:r>
          </w:p>
        </w:tc>
      </w:tr>
    </w:tbl>
    <w:p/>
    <w:p>
      <w:pPr>
        <w:pStyle w:val="Heading2"/>
      </w:pPr>
      <w:r>
        <w:rPr>
          <w:color w:val="003366"/>
        </w:rPr>
        <w:t>COST ADVANTAGE PROJECTION FROM ADDING NEW ALTERNATE SUPPLIER INTO SOLAR PANELS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$116,808 – $262,818</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$116,808 – $262,818</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$116,808 – $262,818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$350,424 – $788,454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1.7/4.0</w:t>
            </w:r>
          </w:p>
        </w:tc>
        <w:tc>
          <w:tcPr>
            <w:tcW w:type="dxa" w:w="3360"/>
          </w:tcPr>
          <w:p>
            <w:r>
              <w:rPr>
                <w:sz w:val="20"/>
              </w:rPr>
              <w:t>MEDIUM</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$350,424 – $788,454</w:t>
            </w:r>
          </w:p>
        </w:tc>
      </w:tr>
      <w:tr>
        <w:tc>
          <w:tcPr>
            <w:tcW w:type="dxa" w:w="5040"/>
          </w:tcPr>
          <w:p>
            <w:r>
              <w:rPr>
                <w:sz w:val="20"/>
              </w:rPr>
              <w:t>Risk Reduction Value</w:t>
            </w:r>
          </w:p>
        </w:tc>
        <w:tc>
          <w:tcPr>
            <w:tcW w:type="dxa" w:w="5040"/>
          </w:tcPr>
          <w:p>
            <w:r>
              <w:rPr>
                <w:sz w:val="20"/>
              </w:rPr>
              <w:t>$-107,074</w:t>
            </w:r>
          </w:p>
        </w:tc>
      </w:tr>
      <w:tr>
        <w:tc>
          <w:tcPr>
            <w:tcW w:type="dxa" w:w="5040"/>
          </w:tcPr>
          <w:p>
            <w:r>
              <w:rPr>
                <w:sz w:val="20"/>
              </w:rPr>
              <w:t>Implementation Cost</w:t>
            </w:r>
          </w:p>
        </w:tc>
        <w:tc>
          <w:tcPr>
            <w:tcW w:type="dxa" w:w="5040"/>
          </w:tcPr>
          <w:p>
            <w:r>
              <w:rPr>
                <w:sz w:val="20"/>
              </w:rPr>
              <w:t>$194,680</w:t>
            </w:r>
          </w:p>
        </w:tc>
      </w:tr>
      <w:tr>
        <w:tc>
          <w:tcPr>
            <w:tcW w:type="dxa" w:w="5040"/>
          </w:tcPr>
          <w:p>
            <w:r>
              <w:rPr>
                <w:sz w:val="20"/>
              </w:rPr>
              <w:t>ROI (First Year)</w:t>
            </w:r>
          </w:p>
        </w:tc>
        <w:tc>
          <w:tcPr>
            <w:tcW w:type="dxa" w:w="5040"/>
          </w:tcPr>
          <w:p>
            <w:r>
              <w:rPr>
                <w:sz w:val="20"/>
              </w:rPr>
              <w:t>25% – 250%</w:t>
            </w:r>
          </w:p>
        </w:tc>
      </w:tr>
      <w:tr>
        <w:tc>
          <w:tcPr>
            <w:tcW w:type="dxa" w:w="5040"/>
          </w:tcPr>
          <w:p>
            <w:r>
              <w:rPr>
                <w:sz w:val="20"/>
              </w:rPr>
              <w:t>Payback Period</w:t>
            </w:r>
          </w:p>
        </w:tc>
        <w:tc>
          <w:tcPr>
            <w:tcW w:type="dxa" w:w="5040"/>
          </w:tcPr>
          <w:p>
            <w:r>
              <w:rPr>
                <w:sz w:val="20"/>
              </w:rPr>
              <w:t>3.4 – 9.6 months</w:t>
            </w:r>
          </w:p>
        </w:tc>
      </w:tr>
      <w:tr>
        <w:tc>
          <w:tcPr>
            <w:tcW w:type="dxa" w:w="5040"/>
          </w:tcPr>
          <w:p>
            <w:r>
              <w:rPr>
                <w:sz w:val="20"/>
              </w:rPr>
              <w:t>3-Year Net Benefit</w:t>
            </w:r>
          </w:p>
        </w:tc>
        <w:tc>
          <w:tcPr>
            <w:tcW w:type="dxa" w:w="5040"/>
          </w:tcPr>
          <w:p>
            <w:r>
              <w:rPr>
                <w:sz w:val="20"/>
              </w:rPr>
              <w:t>$535,370 – $1,849,460</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First Solar</w:t>
            </w:r>
          </w:p>
        </w:tc>
        <w:tc>
          <w:tcPr>
            <w:tcW w:type="dxa" w:w="2016"/>
          </w:tcPr>
          <w:p>
            <w:r>
              <w:rPr>
                <w:sz w:val="20"/>
              </w:rPr>
              <w:t>$2,073,600</w:t>
            </w:r>
          </w:p>
        </w:tc>
        <w:tc>
          <w:tcPr>
            <w:tcW w:type="dxa" w:w="2016"/>
          </w:tcPr>
          <w:p>
            <w:r>
              <w:rPr>
                <w:sz w:val="20"/>
              </w:rPr>
              <w:t>4.7/5.0</w:t>
            </w:r>
          </w:p>
        </w:tc>
        <w:tc>
          <w:tcPr>
            <w:tcW w:type="dxa" w:w="2016"/>
          </w:tcPr>
          <w:p>
            <w:r>
              <w:rPr>
                <w:sz w:val="20"/>
              </w:rPr>
              <w:t>93%</w:t>
            </w:r>
          </w:p>
        </w:tc>
        <w:tc>
          <w:tcPr>
            <w:tcW w:type="dxa" w:w="2016"/>
          </w:tcPr>
          <w:p>
            <w:r>
              <w:rPr>
                <w:sz w:val="20"/>
              </w:rPr>
              <w:t>8.0/10</w:t>
            </w:r>
          </w:p>
        </w:tc>
      </w:tr>
      <w:tr>
        <w:tc>
          <w:tcPr>
            <w:tcW w:type="dxa" w:w="2016"/>
          </w:tcPr>
          <w:p>
            <w:r>
              <w:rPr>
                <w:sz w:val="20"/>
              </w:rPr>
              <w:t>Singapore Green Energy Ltd</w:t>
            </w:r>
          </w:p>
        </w:tc>
        <w:tc>
          <w:tcPr>
            <w:tcW w:type="dxa" w:w="2016"/>
          </w:tcPr>
          <w:p>
            <w:r>
              <w:rPr>
                <w:sz w:val="20"/>
              </w:rPr>
              <w:t>$1,328,600</w:t>
            </w:r>
          </w:p>
        </w:tc>
        <w:tc>
          <w:tcPr>
            <w:tcW w:type="dxa" w:w="2016"/>
          </w:tcPr>
          <w:p>
            <w:r>
              <w:rPr>
                <w:sz w:val="20"/>
              </w:rPr>
              <w:t>4.5/5.0</w:t>
            </w:r>
          </w:p>
        </w:tc>
        <w:tc>
          <w:tcPr>
            <w:tcW w:type="dxa" w:w="2016"/>
          </w:tcPr>
          <w:p>
            <w:r>
              <w:rPr>
                <w:sz w:val="20"/>
              </w:rPr>
              <w:t>94%</w:t>
            </w:r>
          </w:p>
        </w:tc>
        <w:tc>
          <w:tcPr>
            <w:tcW w:type="dxa" w:w="2016"/>
          </w:tcPr>
          <w:p>
            <w:r>
              <w:rPr>
                <w:sz w:val="20"/>
              </w:rPr>
              <w:t>7.6/10</w:t>
            </w:r>
          </w:p>
        </w:tc>
      </w:tr>
      <w:tr>
        <w:tc>
          <w:tcPr>
            <w:tcW w:type="dxa" w:w="2016"/>
          </w:tcPr>
          <w:p>
            <w:r>
              <w:rPr>
                <w:sz w:val="20"/>
              </w:rPr>
              <w:t>JinkoSolar</w:t>
            </w:r>
          </w:p>
        </w:tc>
        <w:tc>
          <w:tcPr>
            <w:tcW w:type="dxa" w:w="2016"/>
          </w:tcPr>
          <w:p>
            <w:r>
              <w:rPr>
                <w:sz w:val="20"/>
              </w:rPr>
              <w:t>$992,500</w:t>
            </w:r>
          </w:p>
        </w:tc>
        <w:tc>
          <w:tcPr>
            <w:tcW w:type="dxa" w:w="2016"/>
          </w:tcPr>
          <w:p>
            <w:r>
              <w:rPr>
                <w:sz w:val="20"/>
              </w:rPr>
              <w:t>4.5/5.0</w:t>
            </w:r>
          </w:p>
        </w:tc>
        <w:tc>
          <w:tcPr>
            <w:tcW w:type="dxa" w:w="2016"/>
          </w:tcPr>
          <w:p>
            <w:r>
              <w:rPr>
                <w:sz w:val="20"/>
              </w:rPr>
              <w:t>86%</w:t>
            </w:r>
          </w:p>
        </w:tc>
        <w:tc>
          <w:tcPr>
            <w:tcW w:type="dxa" w:w="2016"/>
          </w:tcPr>
          <w:p>
            <w:r>
              <w:rPr>
                <w:sz w:val="20"/>
              </w:rPr>
              <w:t>8.0/10</w:t>
            </w:r>
          </w:p>
        </w:tc>
      </w:tr>
      <w:tr>
        <w:tc>
          <w:tcPr>
            <w:tcW w:type="dxa" w:w="2016"/>
          </w:tcPr>
          <w:p>
            <w:r>
              <w:rPr>
                <w:sz w:val="20"/>
              </w:rPr>
              <w:t>Canadian Solar</w:t>
            </w:r>
          </w:p>
        </w:tc>
        <w:tc>
          <w:tcPr>
            <w:tcW w:type="dxa" w:w="2016"/>
          </w:tcPr>
          <w:p>
            <w:r>
              <w:rPr>
                <w:sz w:val="20"/>
              </w:rPr>
              <w:t>$1,724,300</w:t>
            </w:r>
          </w:p>
        </w:tc>
        <w:tc>
          <w:tcPr>
            <w:tcW w:type="dxa" w:w="2016"/>
          </w:tcPr>
          <w:p>
            <w:r>
              <w:rPr>
                <w:sz w:val="20"/>
              </w:rPr>
              <w:t>4.6/5.0</w:t>
            </w:r>
          </w:p>
        </w:tc>
        <w:tc>
          <w:tcPr>
            <w:tcW w:type="dxa" w:w="2016"/>
          </w:tcPr>
          <w:p>
            <w:r>
              <w:rPr>
                <w:sz w:val="20"/>
              </w:rPr>
              <w:t>90%</w:t>
            </w:r>
          </w:p>
        </w:tc>
        <w:tc>
          <w:tcPr>
            <w:tcW w:type="dxa" w:w="2016"/>
          </w:tcPr>
          <w:p>
            <w:r>
              <w:rPr>
                <w:sz w:val="20"/>
              </w:rPr>
              <w:t>8.0/10</w:t>
            </w:r>
          </w:p>
        </w:tc>
      </w:tr>
      <w:tr>
        <w:tc>
          <w:tcPr>
            <w:tcW w:type="dxa" w:w="2016"/>
          </w:tcPr>
          <w:p>
            <w:r>
              <w:rPr>
                <w:sz w:val="20"/>
              </w:rPr>
              <w:t>Eco Power International</w:t>
            </w:r>
          </w:p>
        </w:tc>
        <w:tc>
          <w:tcPr>
            <w:tcW w:type="dxa" w:w="2016"/>
          </w:tcPr>
          <w:p>
            <w:r>
              <w:rPr>
                <w:sz w:val="20"/>
              </w:rPr>
              <w:t>$2,243,600</w:t>
            </w:r>
          </w:p>
        </w:tc>
        <w:tc>
          <w:tcPr>
            <w:tcW w:type="dxa" w:w="2016"/>
          </w:tcPr>
          <w:p>
            <w:r>
              <w:rPr>
                <w:sz w:val="20"/>
              </w:rPr>
              <w:t>3.8/5.0</w:t>
            </w:r>
          </w:p>
        </w:tc>
        <w:tc>
          <w:tcPr>
            <w:tcW w:type="dxa" w:w="2016"/>
          </w:tcPr>
          <w:p>
            <w:r>
              <w:rPr>
                <w:sz w:val="20"/>
              </w:rPr>
              <w:t>86%</w:t>
            </w:r>
          </w:p>
        </w:tc>
        <w:tc>
          <w:tcPr>
            <w:tcW w:type="dxa" w:w="2016"/>
          </w:tcPr>
          <w:p>
            <w:r>
              <w:rPr>
                <w:sz w:val="20"/>
              </w:rPr>
              <w:t>7.4/10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9</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74%</w:t>
            </w:r>
          </w:p>
        </w:tc>
      </w:tr>
    </w:tbl>
    <w:p/>
    <w:p>
      <w:r>
        <w:rPr>
          <w:b/>
        </w:rPr>
        <w:t>Violations Detected:</w:t>
      </w:r>
    </w:p>
    <w:p>
      <w:pPr>
        <w:pStyle w:val="ListBullet"/>
      </w:pPr>
      <w:r>
        <w:t>R001: Regional Concentration</w:t>
      </w:r>
    </w:p>
    <w:p>
      <w:pPr>
        <w:pStyle w:val="ListBullet"/>
      </w:pPr>
      <w:r>
        <w:t>R012: Minimum Order Quantity</w:t>
      </w:r>
    </w:p>
    <w:p>
      <w:pPr>
        <w:pStyle w:val="ListBullet"/>
      </w:pPr>
      <w:r>
        <w:t>R015: Diverse Supplier Spend</w:t>
      </w:r>
    </w:p>
    <w:p>
      <w:pPr>
        <w:pStyle w:val="ListBullet"/>
      </w:pPr>
      <w:r>
        <w:t>R016: Innovation Supplier Ratio</w:t>
      </w:r>
    </w:p>
    <w:p>
      <w:pPr>
        <w:pStyle w:val="ListBullet"/>
      </w:pPr>
      <w:r>
        <w:t>R020: Supplier Responsiveness</w:t>
      </w:r>
    </w:p>
    <w:p/>
    <w:p>
      <w:pPr>
        <w:pStyle w:val="Heading2"/>
      </w:pPr>
      <w:r>
        <w:rPr>
          <w:color w:val="003366"/>
        </w:rPr>
        <w:t>STRATEGIC OUTCOME</w:t>
      </w:r>
    </w:p>
    <w:p>
      <w:pPr>
        <w:pStyle w:val="ListBullet"/>
      </w:pPr>
      <w:r>
        <w:t>Reduce single-supplier concentration from 23% to 40%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americas supply corridor risk by ~-27%</w:t>
      </w:r>
    </w:p>
    <w:p>
      <w:pPr>
        <w:pStyle w:val="ListBullet"/>
      </w:pPr>
      <w:r>
        <w:t>Achieve estimated annual cost advantage of USD 350,424–788,454 while improving supply continuity</w:t>
      </w:r>
    </w:p>
    <w:p/>
    <w:p>
      <w:pPr>
        <w:pStyle w:val="Heading2"/>
      </w:pPr>
      <w:r>
        <w:rPr>
          <w:color w:val="003366"/>
        </w:rPr>
        <w:t>WHY THIS MATTERS</w:t>
      </w:r>
    </w:p>
    <w:p>
      <w:r>
        <w:t xml:space="preserve">This analysis reveals a moderate supplier concentration issue in Solar Panels. With 23%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$350,424 to $788,454 in annual cost savings, representing a 25%-250% ROI on the estimated $194,680 implementation investment.</w:t>
        <w:br/>
        <w:br/>
        <w:t>2. RISK MITIGATION: Current risk level is rated MEDIUM. Reducing concentration by -17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23%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Solar Panels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critical business issue at hand involves the procurement of solar panels, where the total annual spend amounts to $9,734,000. A significant portion of this spend, specifically $2,243,600 or 23.0%, is concentrated with a single supplier, Eco Power International. This supplier concentration poses a medium risk level due to the moderate concentration in the Americas, where only six suppliers are currently active. Such a concentration can lead to vulnerabilities in the supply chain, as reliance on a limited number of suppliers increases exposure to potential disruptions, price volatility, and supply shortages, which can significantly impact operational stability and cost efficiency [SOURCE-1].</w:t>
        <w:br/>
        <w:br/>
        <w:t>The concentration of supplier spend is problematic because it elevates supply chain risk, particularly when a single supplier accounts for a substantial share of the total procurement budget. High supplier concentration, as noted in best practices, should be mitigated by maintaining at least 3-5 qualified suppliers for critical categories to ensure supply chain resilience [SOURCE-1]. Additionally, geographic diversification is crucial to reduce exposure to regional disruptions, and dual sourcing strategies can help balance cost efficiency with risk mitigation [SOURCE-1]. This is particularly important in the solar panel category, where technological advancements and market dynamics can rapidly change, necessitating a flexible and diversified supplier base.</w:t>
        <w:br/>
        <w:br/>
        <w:t>To address this issue, a diversification strategy is recommended, focusing on expanding the supplier base across different regions. This strategy involves identifying and qualifying new suppliers from emerging markets such as Africa and the Middle East, which offer competitive labor costs and growing industrial bases [SOURCE-2]. By doing so, the company can reduce its dependency on the current supplier concentration in the Americas and enhance its supply chain resilience. Implementing this strategy will involve an initial cost of $194,680, but it is projected to yield annual savings between $350,424 and $788,454, with a projected ROI ranging from 25% to 250% [SOURCE-3].</w:t>
        <w:br/>
        <w:br/>
        <w:t>The expected strategic benefits of this diversification include a 3-year net benefit ranging from $535,370 to $1,849,460, which underscores the financial viability of this initiative. By reducing supplier concentration and diversifying geographically, the company can achieve a more balanced and robust supply chain, mitigating risks associated with single-source dependency and regional concentration [SOURCE-5]. This approach not only enhances operational stability but also positions the company to capitalize on cost savings and improved procurement efficiency in the long term.</w:t>
        <w:br/>
        <w:br/>
        <w:t>---</w:t>
        <w:br/>
        <w:t>Sources: supplier_risk.txt, regional_strategy.txt, roi_calculations.txt</w:t>
      </w:r>
    </w:p>
    <w:p/>
    <w:p>
      <w:pPr>
        <w:pStyle w:val="Heading2"/>
      </w:pPr>
      <w:r>
        <w:rPr>
          <w:color w:val="003366"/>
        </w:rPr>
        <w:t>🤖 AI-POWERED RISK ANALYSIS</w:t>
      </w:r>
    </w:p>
    <w:p>
      <w:pPr>
        <w:spacing w:after="240"/>
      </w:pPr>
      <w:r>
        <w:t>## DETAILED RISK ANALYSIS</w:t>
        <w:br/>
        <w:br/>
        <w:t>### CURRENT RISK EXPOSURE</w:t>
        <w:br/>
        <w:br/>
        <w:t>The current risk exposure for the Solar Panels category is quantified with an overall risk score of 1.7 out of 4.0, indicating a medium level of risk. This score is derived from a combination of supply chain, geographic, and supplier diversity risks. Specifically, the supply chain risk and geographic risk are both rated as medium, while the supplier diversity risk is considered low. The medium risk levels suggest that while there is some stability, there are significant vulnerabilities that need to be addressed to prevent potential disruptions.</w:t>
        <w:br/>
        <w:br/>
        <w:t>### RULE VIOLATION ANALYSIS</w:t>
        <w:br/>
        <w:br/>
        <w:t>The data reveals several critical rule violations that contribute to the overall risk profile. The most significant is the regional concentration violation, where 62.1% of the spend is concentrated in the Americas, exceeding the 40.0% limit by 22.1%. This high concentration poses a geographic risk, as it increases dependency on a single region, making the supply chain susceptible to regional disruptions. Additionally, there are violations in minimum order quantity, diverse supplier spend, innovation supplier ratio, and supplier responsiveness. Each of these violations indicates areas where the procurement strategy is not aligned with best practices, potentially leading to inefficiencies and increased vulnerability to supply chain disruptions.</w:t>
        <w:br/>
        <w:br/>
        <w:t>### RISK INTERDEPENDENCIES</w:t>
        <w:br/>
        <w:br/>
        <w:t>The calculated risks are interdependent, compounding the overall risk exposure. The high regional concentration exacerbates geographic risk, as reliance on the Americas limits flexibility and increases exposure to regional geopolitical or economic changes. This dependency is further compounded by the low innovation supplier ratio and diverse supplier spend, which limit the ability to pivot to alternative suppliers or innovative solutions in the event of a disruption. The lack of supplier responsiveness adds another layer of risk, as it may delay the ability to react to changes in supply or demand, further destabilizing the supply chain.</w:t>
        <w:br/>
        <w:br/>
        <w:t>### MITIGATION URGENCY</w:t>
        <w:br/>
        <w:br/>
        <w:t>Given the medium overall risk level and the specific violations identified, immediate action is necessary to mitigate these risks. The high concentration in the Americas is particularly concerning, as it exceeds the recommended threshold significantly, indicating a critical need for geographic diversification [SOURCE-2]. Addressing the violations in supplier diversity and innovation ratios will enhance the supply chain's resilience and adaptability. The urgency is underscored by the potential for compounded risks to escalate into significant disruptions if not addressed promptly. Implementing a dual sourcing strategy and exploring suppliers in emerging markets, as suggested in best practices [SOURCE-1], could effectively reduce the current risk levels and improve compliance with procurement rules.</w:t>
        <w:br/>
        <w:br/>
        <w:t>---</w:t>
        <w:br/>
        <w:t>Sources: supplier_risk.txt, risk_assessment.txt, regional_strategy.txt</w:t>
      </w:r>
    </w:p>
    <w:p/>
    <w:p>
      <w:pPr>
        <w:pStyle w:val="Heading2"/>
      </w:pPr>
      <w:r>
        <w:rPr>
          <w:color w:val="003366"/>
        </w:rPr>
        <w:t>🤖 AI-GENERATED STRATEGIC RECOMMENDATIONS</w:t>
      </w:r>
    </w:p>
    <w:p>
      <w:pPr>
        <w:spacing w:after="240"/>
      </w:pPr>
      <w:r>
        <w:t>## STRATEGIC RECOMMENDATIONS</w:t>
        <w:br/>
        <w:br/>
        <w:t>### Immediate Actions</w:t>
        <w:br/>
        <w:br/>
        <w:t>The first step in managing supplier concentration risk is to diversify the supplier base for solar panels, as indicated by the high concentration risk associated with relying heavily on a single supplier or region [SOURCE-1]. Procurement should immediately engage in supplier qualification, focusing on regions with cost advantages such as India, China, and Mexico. These regions offer significant cost savings due to their manufacturing scale, skilled workforce, and favorable trade agreements, respectively. This aligns with the best practice of maintaining at least 3-5 qualified suppliers for critical categories [SOURCE-1].</w:t>
        <w:br/>
        <w:br/>
        <w:t>### Short-Term Wins</w:t>
        <w:br/>
        <w:br/>
        <w:t>To achieve quick wins, procurement can leverage the cost advantages in India, China, and Mexico, where potential savings range from $116,808 to $262,818 per region. By initiating pilot contracts with suppliers in these regions during Weeks 5-12, procurement can capitalize on nearshoring benefits and supply chain efficiencies [SOURCE-3]. This approach not only reduces costs but also mitigates risk by diversifying the supply base across multiple geographic locations.</w:t>
        <w:br/>
        <w:br/>
        <w:t>### Strategic Initiatives</w:t>
        <w:br/>
        <w:br/>
        <w:t>Following the initial supplier qualification and pilot contracts, procurement should focus on scaling up successful supplier relationships in Weeks 14-26. This involves transitioning from pilot to full-scale contracts, ensuring that the selected suppliers meet performance expectations and align with the company's strategic objectives. The implementation phases outlined in the data section provide a structured approach to this process, ensuring a smooth transition and maximizing the potential for cost savings and risk reduction.</w:t>
        <w:br/>
        <w:br/>
        <w:t>### Governance &amp; Monitoring</w:t>
        <w:br/>
        <w:br/>
        <w:t>To effectively track the projected savings and ensure accountability, procurement should establish a robust governance framework. This includes regular performance reviews and audits to monitor supplier compliance and performance against agreed-upon metrics. By Week 13, a comprehensive performance review should be conducted to assess the effectiveness of the pilot contracts and make necessary adjustments. This aligns with the need for ongoing management and monitoring as highlighted in [SOURCE-4].</w:t>
        <w:br/>
        <w:br/>
        <w:t>### Success Metrics</w:t>
        <w:br/>
        <w:br/>
        <w:t>Success should be measured using the ROI and payback metrics provided in the data section. The projected savings of $350,424 to $788,454, along with an implementation cost of $194,680, result in a 3-year net benefit ranging from $535,370 to $1,849,460. The payback period of 3.4 to 9.6 months is a critical metric, indicating the time required to recover the initial investment. These metrics provide a clear framework for evaluating the success of the procurement strategy and ensuring alignment with the company's financial objectives.</w:t>
        <w:br/>
        <w:br/>
        <w:t>---</w:t>
        <w:br/>
        <w:t>Sources: supplier_risk.txt, roi_calculations.txt, regional_strategy.txt</w:t>
      </w:r>
    </w:p>
    <w:p/>
    <w:p>
      <w:pPr>
        <w:pStyle w:val="Heading2"/>
      </w:pPr>
      <w:r>
        <w:rPr>
          <w:color w:val="003366"/>
        </w:rPr>
        <w:t>🤖 AI MARKET INTELLIGENCE</w:t>
      </w:r>
    </w:p>
    <w:p>
      <w:pPr>
        <w:spacing w:after="240"/>
      </w:pPr>
      <w:r>
        <w:t>The Solar Panels market continues to evolve with shifting global supply dynamics. Current sourcing</w:t>
        <w:br/>
        <w:t>is concentrated in Peru,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Solar Panels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solar panels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