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SOLAR PANELS DIVERSIFICATION</w:t>
      </w:r>
    </w:p>
    <w:p>
      <w:pPr>
        <w:jc w:val="center"/>
      </w:pPr>
      <w:r>
        <w:rPr>
          <w:i/>
          <w:sz w:val="22"/>
        </w:rPr>
        <w:t>Supplier Concentration Analysis &amp; Diversification Strategy</w:t>
      </w:r>
    </w:p>
    <w:p>
      <w:pPr>
        <w:jc w:val="center"/>
      </w:pPr>
      <w:r>
        <w:rPr>
          <w:b/>
          <w:sz w:val="24"/>
        </w:rPr>
        <w:t>Total Category Spend 2026: USD 9,734,000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2026 Original</w:t>
            </w:r>
          </w:p>
        </w:tc>
      </w:tr>
      <w:tr>
        <w:tc>
          <w:tcPr>
            <w:tcW w:type="dxa" w:w="5040"/>
          </w:tcPr>
          <w:p>
            <w:r>
              <w:rPr>
                <w:sz w:val="20"/>
              </w:rPr>
              <w:t>Supplier</w:t>
            </w:r>
          </w:p>
        </w:tc>
        <w:tc>
          <w:tcPr>
            <w:tcW w:type="dxa" w:w="5040"/>
          </w:tcPr>
          <w:p>
            <w:r>
              <w:rPr>
                <w:sz w:val="20"/>
              </w:rPr>
              <w:t>Eco Power International</w:t>
            </w:r>
          </w:p>
        </w:tc>
      </w:tr>
      <w:tr>
        <w:tc>
          <w:tcPr>
            <w:tcW w:type="dxa" w:w="5040"/>
          </w:tcPr>
          <w:p>
            <w:r>
              <w:rPr>
                <w:sz w:val="20"/>
              </w:rPr>
              <w:t>Supplier Location</w:t>
            </w:r>
          </w:p>
        </w:tc>
        <w:tc>
          <w:tcPr>
            <w:tcW w:type="dxa" w:w="5040"/>
          </w:tcPr>
          <w:p>
            <w:r>
              <w:rPr>
                <w:sz w:val="20"/>
              </w:rPr>
              <w:t>Peru</w:t>
            </w:r>
          </w:p>
        </w:tc>
      </w:tr>
      <w:tr>
        <w:tc>
          <w:tcPr>
            <w:tcW w:type="dxa" w:w="5040"/>
          </w:tcPr>
          <w:p>
            <w:r>
              <w:rPr>
                <w:sz w:val="20"/>
              </w:rPr>
              <w:t>Spend Share</w:t>
            </w:r>
          </w:p>
        </w:tc>
        <w:tc>
          <w:tcPr>
            <w:tcW w:type="dxa" w:w="5040"/>
          </w:tcPr>
          <w:p>
            <w:r>
              <w:rPr>
                <w:sz w:val="20"/>
              </w:rPr>
              <w:t>23% = USD 2,243,600</w:t>
            </w:r>
          </w:p>
        </w:tc>
      </w:tr>
      <w:tr>
        <w:tc>
          <w:tcPr>
            <w:tcW w:type="dxa" w:w="5040"/>
          </w:tcPr>
          <w:p>
            <w:r>
              <w:rPr>
                <w:sz w:val="20"/>
              </w:rPr>
              <w:t>Current Solar Panels Buying from Supplier</w:t>
            </w:r>
          </w:p>
        </w:tc>
        <w:tc>
          <w:tcPr>
            <w:tcW w:type="dxa" w:w="5040"/>
          </w:tcPr>
          <w:p>
            <w:r>
              <w:rPr>
                <w:sz w:val="20"/>
              </w:rPr>
              <w:t>Yes</w:t>
            </w:r>
          </w:p>
        </w:tc>
      </w:tr>
      <w:tr>
        <w:tc>
          <w:tcPr>
            <w:tcW w:type="dxa" w:w="5040"/>
          </w:tcPr>
          <w:p>
            <w:r>
              <w:rPr>
                <w:sz w:val="20"/>
              </w:rPr>
              <w:t>Alternate Supplier for Solar Panels</w:t>
            </w:r>
          </w:p>
        </w:tc>
        <w:tc>
          <w:tcPr>
            <w:tcW w:type="dxa" w:w="5040"/>
          </w:tcPr>
          <w:p>
            <w:r>
              <w:rPr>
                <w:sz w:val="20"/>
              </w:rPr>
              <w:t>None active today</w:t>
            </w:r>
          </w:p>
        </w:tc>
      </w:tr>
      <w:tr>
        <w:tc>
          <w:tcPr>
            <w:tcW w:type="dxa" w:w="5040"/>
          </w:tcPr>
          <w:p>
            <w:r>
              <w:rPr>
                <w:sz w:val="20"/>
              </w:rPr>
              <w:t>Key Risk</w:t>
            </w:r>
          </w:p>
        </w:tc>
        <w:tc>
          <w:tcPr>
            <w:tcW w:type="dxa" w:w="5040"/>
          </w:tcPr>
          <w:p>
            <w:r>
              <w:rPr>
                <w:sz w:val="20"/>
              </w:rPr>
              <w:t>Moderate concentration in Americas with 6 suppliers</w:t>
            </w:r>
          </w:p>
        </w:tc>
      </w:tr>
    </w:tbl>
    <w:p/>
    <w:p>
      <w:pPr>
        <w:pStyle w:val="Heading3"/>
      </w:pPr>
      <w:r>
        <w:rPr>
          <w:color w:val="003366"/>
        </w:rPr>
        <w:t>OVERALL RISK STATEMENT</w:t>
      </w:r>
    </w:p>
    <w:p>
      <w:pPr>
        <w:spacing w:after="240"/>
      </w:pPr>
      <w:r>
        <w:t xml:space="preserve">Our current solar panels procurement involves 6 suppliers, with Eco Power International as the dominant supplier at 23% of total category spend (USD 2,243,600 of USD 9,734,000 in 2026). Other suppliers include: First Solar (21%), Canadian Solar (18%), Clean Energy Solutions (14%). All suppliers operate from Peru. There are no other qualified Solar Panels suppliers in our approved supplier database. New supplier qualification will be required for diversification. </w:t>
        <w:br/>
        <w:br/>
        <w:t>This creates a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Eco Power International</w:t>
            </w:r>
          </w:p>
        </w:tc>
        <w:tc>
          <w:tcPr>
            <w:tcW w:type="dxa" w:w="2520"/>
          </w:tcPr>
          <w:p>
            <w:r>
              <w:rPr>
                <w:sz w:val="20"/>
              </w:rPr>
              <w:t>23%</w:t>
            </w:r>
          </w:p>
        </w:tc>
        <w:tc>
          <w:tcPr>
            <w:tcW w:type="dxa" w:w="2520"/>
          </w:tcPr>
          <w:p>
            <w:r>
              <w:rPr>
                <w:sz w:val="20"/>
              </w:rPr>
              <w:t>40%</w:t>
            </w:r>
          </w:p>
        </w:tc>
        <w:tc>
          <w:tcPr>
            <w:tcW w:type="dxa" w:w="2520"/>
          </w:tcPr>
          <w:p>
            <w:r>
              <w:rPr>
                <w:sz w:val="20"/>
              </w:rPr>
              <w:t>23% → 40% = -73.9% reduction</w:t>
            </w:r>
          </w:p>
        </w:tc>
      </w:tr>
      <w:tr>
        <w:tc>
          <w:tcPr>
            <w:tcW w:type="dxa" w:w="2520"/>
          </w:tcPr>
          <w:p>
            <w:r>
              <w:rPr>
                <w:sz w:val="20"/>
              </w:rPr>
              <w:t>New Alternate Supplier</w:t>
            </w:r>
          </w:p>
        </w:tc>
        <w:tc>
          <w:tcPr>
            <w:tcW w:type="dxa" w:w="2520"/>
          </w:tcPr>
          <w:p>
            <w:r>
              <w:rPr>
                <w:sz w:val="20"/>
              </w:rPr>
              <w:t>0%</w:t>
            </w:r>
          </w:p>
        </w:tc>
        <w:tc>
          <w:tcPr>
            <w:tcW w:type="dxa" w:w="2520"/>
          </w:tcPr>
          <w:p>
            <w:r>
              <w:rPr>
                <w:sz w:val="20"/>
              </w:rPr>
              <w:t>10%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Net Reduction</w:t>
            </w:r>
          </w:p>
        </w:tc>
      </w:tr>
      <w:tr>
        <w:tc>
          <w:tcPr>
            <w:tcW w:type="dxa" w:w="2520"/>
          </w:tcPr>
          <w:p>
            <w:r>
              <w:rPr>
                <w:sz w:val="20"/>
              </w:rPr>
              <w:t>Americas Supply Corridor</w:t>
            </w:r>
          </w:p>
        </w:tc>
        <w:tc>
          <w:tcPr>
            <w:tcW w:type="dxa" w:w="2520"/>
          </w:tcPr>
          <w:p>
            <w:r>
              <w:rPr>
                <w:sz w:val="20"/>
              </w:rPr>
              <w:t>23%</w:t>
            </w:r>
          </w:p>
        </w:tc>
        <w:tc>
          <w:tcPr>
            <w:tcW w:type="dxa" w:w="2520"/>
          </w:tcPr>
          <w:p>
            <w:r>
              <w:rPr>
                <w:sz w:val="20"/>
              </w:rPr>
              <w:t>40–50%</w:t>
            </w:r>
          </w:p>
        </w:tc>
        <w:tc>
          <w:tcPr>
            <w:tcW w:type="dxa" w:w="2520"/>
          </w:tcPr>
          <w:p>
            <w:r>
              <w:rPr>
                <w:sz w:val="20"/>
              </w:rPr>
              <w:t>-27–-17%</w:t>
            </w:r>
          </w:p>
        </w:tc>
      </w:tr>
    </w:tbl>
    <w:p/>
    <w:p>
      <w:pPr>
        <w:pStyle w:val="Heading2"/>
      </w:pPr>
      <w:r>
        <w:rPr>
          <w:color w:val="003366"/>
        </w:rPr>
        <w:t>COST ADVANTAGE PROJECTION FROM ADDING NEW ALTERNATE SUPPLIER INTO SOLAR PANELS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India</w:t>
            </w:r>
          </w:p>
        </w:tc>
        <w:tc>
          <w:tcPr>
            <w:tcW w:type="dxa" w:w="3360"/>
          </w:tcPr>
          <w:p>
            <w:r>
              <w:rPr>
                <w:sz w:val="20"/>
              </w:rPr>
              <w:t>Cost-effective operations + skilled workforce</w:t>
            </w:r>
          </w:p>
        </w:tc>
        <w:tc>
          <w:tcPr>
            <w:tcW w:type="dxa" w:w="3360"/>
          </w:tcPr>
          <w:p>
            <w:r>
              <w:rPr>
                <w:sz w:val="20"/>
              </w:rPr>
              <w:t>$116,808 – $262,818</w:t>
            </w:r>
          </w:p>
        </w:tc>
      </w:tr>
      <w:tr>
        <w:tc>
          <w:tcPr>
            <w:tcW w:type="dxa" w:w="3360"/>
          </w:tcPr>
          <w:p>
            <w:r>
              <w:rPr>
                <w:sz w:val="20"/>
              </w:rPr>
              <w:t>China</w:t>
            </w:r>
          </w:p>
        </w:tc>
        <w:tc>
          <w:tcPr>
            <w:tcW w:type="dxa" w:w="3360"/>
          </w:tcPr>
          <w:p>
            <w:r>
              <w:rPr>
                <w:sz w:val="20"/>
              </w:rPr>
              <w:t>Manufacturing scale + supply chain efficiency</w:t>
            </w:r>
          </w:p>
        </w:tc>
        <w:tc>
          <w:tcPr>
            <w:tcW w:type="dxa" w:w="3360"/>
          </w:tcPr>
          <w:p>
            <w:r>
              <w:rPr>
                <w:sz w:val="20"/>
              </w:rPr>
              <w:t>$116,808 – $262,818</w:t>
            </w:r>
          </w:p>
        </w:tc>
      </w:tr>
      <w:tr>
        <w:tc>
          <w:tcPr>
            <w:tcW w:type="dxa" w:w="3360"/>
          </w:tcPr>
          <w:p>
            <w:r>
              <w:rPr>
                <w:sz w:val="20"/>
              </w:rPr>
              <w:t>Mexico</w:t>
            </w:r>
          </w:p>
        </w:tc>
        <w:tc>
          <w:tcPr>
            <w:tcW w:type="dxa" w:w="3360"/>
          </w:tcPr>
          <w:p>
            <w:r>
              <w:rPr>
                <w:sz w:val="20"/>
              </w:rPr>
              <w:t>Nearshoring benefits + trade agreements</w:t>
            </w:r>
          </w:p>
        </w:tc>
        <w:tc>
          <w:tcPr>
            <w:tcW w:type="dxa" w:w="3360"/>
          </w:tcPr>
          <w:p>
            <w:r>
              <w:rPr>
                <w:sz w:val="20"/>
              </w:rPr>
              <w:t>$116,808 – $262,818</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$350,424 – $788,454</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MEDIUM</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MEDIUM</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LOW</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1.7/4.0</w:t>
            </w:r>
          </w:p>
        </w:tc>
        <w:tc>
          <w:tcPr>
            <w:tcW w:type="dxa" w:w="3360"/>
          </w:tcPr>
          <w:p>
            <w:r>
              <w:rPr>
                <w:sz w:val="20"/>
              </w:rPr>
              <w:t>MEDIUM</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$350,424 – $788,454</w:t>
            </w:r>
          </w:p>
        </w:tc>
      </w:tr>
      <w:tr>
        <w:tc>
          <w:tcPr>
            <w:tcW w:type="dxa" w:w="5040"/>
          </w:tcPr>
          <w:p>
            <w:r>
              <w:rPr>
                <w:sz w:val="20"/>
              </w:rPr>
              <w:t>Risk Reduction Value</w:t>
            </w:r>
          </w:p>
        </w:tc>
        <w:tc>
          <w:tcPr>
            <w:tcW w:type="dxa" w:w="5040"/>
          </w:tcPr>
          <w:p>
            <w:r>
              <w:rPr>
                <w:sz w:val="20"/>
              </w:rPr>
              <w:t>$-107,074</w:t>
            </w:r>
          </w:p>
        </w:tc>
      </w:tr>
      <w:tr>
        <w:tc>
          <w:tcPr>
            <w:tcW w:type="dxa" w:w="5040"/>
          </w:tcPr>
          <w:p>
            <w:r>
              <w:rPr>
                <w:sz w:val="20"/>
              </w:rPr>
              <w:t>Implementation Cost</w:t>
            </w:r>
          </w:p>
        </w:tc>
        <w:tc>
          <w:tcPr>
            <w:tcW w:type="dxa" w:w="5040"/>
          </w:tcPr>
          <w:p>
            <w:r>
              <w:rPr>
                <w:sz w:val="20"/>
              </w:rPr>
              <w:t>$194,680</w:t>
            </w:r>
          </w:p>
        </w:tc>
      </w:tr>
      <w:tr>
        <w:tc>
          <w:tcPr>
            <w:tcW w:type="dxa" w:w="5040"/>
          </w:tcPr>
          <w:p>
            <w:r>
              <w:rPr>
                <w:sz w:val="20"/>
              </w:rPr>
              <w:t>ROI (First Year)</w:t>
            </w:r>
          </w:p>
        </w:tc>
        <w:tc>
          <w:tcPr>
            <w:tcW w:type="dxa" w:w="5040"/>
          </w:tcPr>
          <w:p>
            <w:r>
              <w:rPr>
                <w:sz w:val="20"/>
              </w:rPr>
              <w:t>25% – 250%</w:t>
            </w:r>
          </w:p>
        </w:tc>
      </w:tr>
      <w:tr>
        <w:tc>
          <w:tcPr>
            <w:tcW w:type="dxa" w:w="5040"/>
          </w:tcPr>
          <w:p>
            <w:r>
              <w:rPr>
                <w:sz w:val="20"/>
              </w:rPr>
              <w:t>Payback Period</w:t>
            </w:r>
          </w:p>
        </w:tc>
        <w:tc>
          <w:tcPr>
            <w:tcW w:type="dxa" w:w="5040"/>
          </w:tcPr>
          <w:p>
            <w:r>
              <w:rPr>
                <w:sz w:val="20"/>
              </w:rPr>
              <w:t>3.4 – 9.6 months</w:t>
            </w:r>
          </w:p>
        </w:tc>
      </w:tr>
      <w:tr>
        <w:tc>
          <w:tcPr>
            <w:tcW w:type="dxa" w:w="5040"/>
          </w:tcPr>
          <w:p>
            <w:r>
              <w:rPr>
                <w:sz w:val="20"/>
              </w:rPr>
              <w:t>3-Year Net Benefit</w:t>
            </w:r>
          </w:p>
        </w:tc>
        <w:tc>
          <w:tcPr>
            <w:tcW w:type="dxa" w:w="5040"/>
          </w:tcPr>
          <w:p>
            <w:r>
              <w:rPr>
                <w:sz w:val="20"/>
              </w:rPr>
              <w:t>$535,370 – $1,849,460</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First Solar</w:t>
            </w:r>
          </w:p>
        </w:tc>
        <w:tc>
          <w:tcPr>
            <w:tcW w:type="dxa" w:w="2016"/>
          </w:tcPr>
          <w:p>
            <w:r>
              <w:rPr>
                <w:sz w:val="20"/>
              </w:rPr>
              <w:t>$2,073,600</w:t>
            </w:r>
          </w:p>
        </w:tc>
        <w:tc>
          <w:tcPr>
            <w:tcW w:type="dxa" w:w="2016"/>
          </w:tcPr>
          <w:p>
            <w:r>
              <w:rPr>
                <w:sz w:val="20"/>
              </w:rPr>
              <w:t>4.7/5.0</w:t>
            </w:r>
          </w:p>
        </w:tc>
        <w:tc>
          <w:tcPr>
            <w:tcW w:type="dxa" w:w="2016"/>
          </w:tcPr>
          <w:p>
            <w:r>
              <w:rPr>
                <w:sz w:val="20"/>
              </w:rPr>
              <w:t>93%</w:t>
            </w:r>
          </w:p>
        </w:tc>
        <w:tc>
          <w:tcPr>
            <w:tcW w:type="dxa" w:w="2016"/>
          </w:tcPr>
          <w:p>
            <w:r>
              <w:rPr>
                <w:sz w:val="20"/>
              </w:rPr>
              <w:t>8.0/10</w:t>
            </w:r>
          </w:p>
        </w:tc>
      </w:tr>
      <w:tr>
        <w:tc>
          <w:tcPr>
            <w:tcW w:type="dxa" w:w="2016"/>
          </w:tcPr>
          <w:p>
            <w:r>
              <w:rPr>
                <w:sz w:val="20"/>
              </w:rPr>
              <w:t>Singapore Green Energy Ltd</w:t>
            </w:r>
          </w:p>
        </w:tc>
        <w:tc>
          <w:tcPr>
            <w:tcW w:type="dxa" w:w="2016"/>
          </w:tcPr>
          <w:p>
            <w:r>
              <w:rPr>
                <w:sz w:val="20"/>
              </w:rPr>
              <w:t>$1,328,600</w:t>
            </w:r>
          </w:p>
        </w:tc>
        <w:tc>
          <w:tcPr>
            <w:tcW w:type="dxa" w:w="2016"/>
          </w:tcPr>
          <w:p>
            <w:r>
              <w:rPr>
                <w:sz w:val="20"/>
              </w:rPr>
              <w:t>4.5/5.0</w:t>
            </w:r>
          </w:p>
        </w:tc>
        <w:tc>
          <w:tcPr>
            <w:tcW w:type="dxa" w:w="2016"/>
          </w:tcPr>
          <w:p>
            <w:r>
              <w:rPr>
                <w:sz w:val="20"/>
              </w:rPr>
              <w:t>94%</w:t>
            </w:r>
          </w:p>
        </w:tc>
        <w:tc>
          <w:tcPr>
            <w:tcW w:type="dxa" w:w="2016"/>
          </w:tcPr>
          <w:p>
            <w:r>
              <w:rPr>
                <w:sz w:val="20"/>
              </w:rPr>
              <w:t>7.6/10</w:t>
            </w:r>
          </w:p>
        </w:tc>
      </w:tr>
      <w:tr>
        <w:tc>
          <w:tcPr>
            <w:tcW w:type="dxa" w:w="2016"/>
          </w:tcPr>
          <w:p>
            <w:r>
              <w:rPr>
                <w:sz w:val="20"/>
              </w:rPr>
              <w:t>JinkoSolar</w:t>
            </w:r>
          </w:p>
        </w:tc>
        <w:tc>
          <w:tcPr>
            <w:tcW w:type="dxa" w:w="2016"/>
          </w:tcPr>
          <w:p>
            <w:r>
              <w:rPr>
                <w:sz w:val="20"/>
              </w:rPr>
              <w:t>$992,500</w:t>
            </w:r>
          </w:p>
        </w:tc>
        <w:tc>
          <w:tcPr>
            <w:tcW w:type="dxa" w:w="2016"/>
          </w:tcPr>
          <w:p>
            <w:r>
              <w:rPr>
                <w:sz w:val="20"/>
              </w:rPr>
              <w:t>4.5/5.0</w:t>
            </w:r>
          </w:p>
        </w:tc>
        <w:tc>
          <w:tcPr>
            <w:tcW w:type="dxa" w:w="2016"/>
          </w:tcPr>
          <w:p>
            <w:r>
              <w:rPr>
                <w:sz w:val="20"/>
              </w:rPr>
              <w:t>86%</w:t>
            </w:r>
          </w:p>
        </w:tc>
        <w:tc>
          <w:tcPr>
            <w:tcW w:type="dxa" w:w="2016"/>
          </w:tcPr>
          <w:p>
            <w:r>
              <w:rPr>
                <w:sz w:val="20"/>
              </w:rPr>
              <w:t>8.0/10</w:t>
            </w:r>
          </w:p>
        </w:tc>
      </w:tr>
      <w:tr>
        <w:tc>
          <w:tcPr>
            <w:tcW w:type="dxa" w:w="2016"/>
          </w:tcPr>
          <w:p>
            <w:r>
              <w:rPr>
                <w:sz w:val="20"/>
              </w:rPr>
              <w:t>Canadian Solar</w:t>
            </w:r>
          </w:p>
        </w:tc>
        <w:tc>
          <w:tcPr>
            <w:tcW w:type="dxa" w:w="2016"/>
          </w:tcPr>
          <w:p>
            <w:r>
              <w:rPr>
                <w:sz w:val="20"/>
              </w:rPr>
              <w:t>$1,724,300</w:t>
            </w:r>
          </w:p>
        </w:tc>
        <w:tc>
          <w:tcPr>
            <w:tcW w:type="dxa" w:w="2016"/>
          </w:tcPr>
          <w:p>
            <w:r>
              <w:rPr>
                <w:sz w:val="20"/>
              </w:rPr>
              <w:t>4.6/5.0</w:t>
            </w:r>
          </w:p>
        </w:tc>
        <w:tc>
          <w:tcPr>
            <w:tcW w:type="dxa" w:w="2016"/>
          </w:tcPr>
          <w:p>
            <w:r>
              <w:rPr>
                <w:sz w:val="20"/>
              </w:rPr>
              <w:t>90%</w:t>
            </w:r>
          </w:p>
        </w:tc>
        <w:tc>
          <w:tcPr>
            <w:tcW w:type="dxa" w:w="2016"/>
          </w:tcPr>
          <w:p>
            <w:r>
              <w:rPr>
                <w:sz w:val="20"/>
              </w:rPr>
              <w:t>8.0/10</w:t>
            </w:r>
          </w:p>
        </w:tc>
      </w:tr>
      <w:tr>
        <w:tc>
          <w:tcPr>
            <w:tcW w:type="dxa" w:w="2016"/>
          </w:tcPr>
          <w:p>
            <w:r>
              <w:rPr>
                <w:sz w:val="20"/>
              </w:rPr>
              <w:t>Eco Power International</w:t>
            </w:r>
          </w:p>
        </w:tc>
        <w:tc>
          <w:tcPr>
            <w:tcW w:type="dxa" w:w="2016"/>
          </w:tcPr>
          <w:p>
            <w:r>
              <w:rPr>
                <w:sz w:val="20"/>
              </w:rPr>
              <w:t>$2,243,600</w:t>
            </w:r>
          </w:p>
        </w:tc>
        <w:tc>
          <w:tcPr>
            <w:tcW w:type="dxa" w:w="2016"/>
          </w:tcPr>
          <w:p>
            <w:r>
              <w:rPr>
                <w:sz w:val="20"/>
              </w:rPr>
              <w:t>3.8/5.0</w:t>
            </w:r>
          </w:p>
        </w:tc>
        <w:tc>
          <w:tcPr>
            <w:tcW w:type="dxa" w:w="2016"/>
          </w:tcPr>
          <w:p>
            <w:r>
              <w:rPr>
                <w:sz w:val="20"/>
              </w:rPr>
              <w:t>86%</w:t>
            </w:r>
          </w:p>
        </w:tc>
        <w:tc>
          <w:tcPr>
            <w:tcW w:type="dxa" w:w="2016"/>
          </w:tcPr>
          <w:p>
            <w:r>
              <w:rPr>
                <w:sz w:val="20"/>
              </w:rPr>
              <w:t>7.4/10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9</w:t>
            </w:r>
          </w:p>
        </w:tc>
      </w:tr>
      <w:tr>
        <w:tc>
          <w:tcPr>
            <w:tcW w:type="dxa" w:w="5040"/>
          </w:tcPr>
          <w:p>
            <w:r>
              <w:rPr>
                <w:sz w:val="20"/>
              </w:rPr>
              <w:t>Total Warnings</w:t>
            </w:r>
          </w:p>
        </w:tc>
        <w:tc>
          <w:tcPr>
            <w:tcW w:type="dxa" w:w="5040"/>
          </w:tcPr>
          <w:p>
            <w:r>
              <w:rPr>
                <w:sz w:val="20"/>
              </w:rPr>
              <w:t>0</w:t>
            </w:r>
          </w:p>
        </w:tc>
      </w:tr>
      <w:tr>
        <w:tc>
          <w:tcPr>
            <w:tcW w:type="dxa" w:w="5040"/>
          </w:tcPr>
          <w:p>
            <w:r>
              <w:rPr>
                <w:sz w:val="20"/>
              </w:rPr>
              <w:t>Compliance Rate</w:t>
            </w:r>
          </w:p>
        </w:tc>
        <w:tc>
          <w:tcPr>
            <w:tcW w:type="dxa" w:w="5040"/>
          </w:tcPr>
          <w:p>
            <w:r>
              <w:rPr>
                <w:sz w:val="20"/>
              </w:rPr>
              <w:t>74%</w:t>
            </w:r>
          </w:p>
        </w:tc>
      </w:tr>
    </w:tbl>
    <w:p/>
    <w:p>
      <w:r>
        <w:rPr>
          <w:b/>
        </w:rPr>
        <w:t>Violations Detected:</w:t>
      </w:r>
    </w:p>
    <w:p>
      <w:pPr>
        <w:pStyle w:val="ListBullet"/>
      </w:pPr>
      <w:r>
        <w:t>R001: Regional Concentration</w:t>
      </w:r>
    </w:p>
    <w:p>
      <w:pPr>
        <w:pStyle w:val="ListBullet"/>
      </w:pPr>
      <w:r>
        <w:t>R012: Minimum Order Quantity</w:t>
      </w:r>
    </w:p>
    <w:p>
      <w:pPr>
        <w:pStyle w:val="ListBullet"/>
      </w:pPr>
      <w:r>
        <w:t>R015: Diverse Supplier Spend</w:t>
      </w:r>
    </w:p>
    <w:p>
      <w:pPr>
        <w:pStyle w:val="ListBullet"/>
      </w:pPr>
      <w:r>
        <w:t>R016: Innovation Supplier Ratio</w:t>
      </w:r>
    </w:p>
    <w:p>
      <w:pPr>
        <w:pStyle w:val="ListBullet"/>
      </w:pPr>
      <w:r>
        <w:t>R020: Supplier Responsiveness</w:t>
      </w:r>
    </w:p>
    <w:p/>
    <w:p>
      <w:pPr>
        <w:pStyle w:val="Heading2"/>
      </w:pPr>
      <w:r>
        <w:rPr>
          <w:color w:val="003366"/>
        </w:rPr>
        <w:t>STRATEGIC OUTCOME</w:t>
      </w:r>
    </w:p>
    <w:p>
      <w:pPr>
        <w:pStyle w:val="ListBullet"/>
      </w:pPr>
      <w:r>
        <w:t>Reduce single-supplier concentration from 23% to 40% in Phase 1</w:t>
      </w:r>
    </w:p>
    <w:p>
      <w:pPr>
        <w:pStyle w:val="ListBullet"/>
      </w:pPr>
      <w:r>
        <w:t>Activate 10% of spend via new qualified suppliers with multi-region presence</w:t>
      </w:r>
    </w:p>
    <w:p>
      <w:pPr>
        <w:pStyle w:val="ListBullet"/>
      </w:pPr>
      <w:r>
        <w:t>Improve pricing leverage through supplier competition</w:t>
      </w:r>
    </w:p>
    <w:p>
      <w:pPr>
        <w:pStyle w:val="ListBullet"/>
      </w:pPr>
      <w:r>
        <w:t>Reduce americas supply corridor risk by ~-27%</w:t>
      </w:r>
    </w:p>
    <w:p>
      <w:pPr>
        <w:pStyle w:val="ListBullet"/>
      </w:pPr>
      <w:r>
        <w:t>Achieve estimated annual cost advantage of USD 350,424–788,454 while improving supply continuity</w:t>
      </w:r>
    </w:p>
    <w:p/>
    <w:p>
      <w:pPr>
        <w:pStyle w:val="Heading2"/>
      </w:pPr>
      <w:r>
        <w:rPr>
          <w:color w:val="003366"/>
        </w:rPr>
        <w:t>WHY THIS MATTERS</w:t>
      </w:r>
    </w:p>
    <w:p>
      <w:r>
        <w:t xml:space="preserve">This analysis reveals a moderate supplier concentration issue in Solar Panels. With 23% of spend concentrated with one supplier, the organization faces significant vulnerability to supply disruptions, limited negotiating leverage, and reduced ability to respond to market changes. </w:t>
        <w:br/>
        <w:br/>
        <w:t>This matters because: (1) Supply chain resilience is now a board-level priority, (2) Procurement concentration directly impacts business continuity risk profiles, (3) Diversification typically yields 5-15% cost improvements through competitive pressure, and (4) opportunity for optimization to maintain competitive procurement operations.</w:t>
      </w:r>
    </w:p>
    <w:p/>
    <w:p>
      <w:pPr>
        <w:pStyle w:val="Heading2"/>
      </w:pPr>
      <w:r>
        <w:rPr>
          <w:color w:val="003366"/>
        </w:rPr>
        <w:t>BUSINESS JUSTIFICATION</w:t>
      </w:r>
    </w:p>
    <w:p>
      <w:r>
        <w:t>BUSINESS CASE JUSTIFICATION:</w:t>
        <w:br/>
        <w:br/>
        <w:t>1. FINANCIAL RETURN: The proposed diversification is projected to deliver $350,424 to $788,454 in annual cost savings, representing a 25%-250% ROI on the estimated $194,680 implementation investment.</w:t>
        <w:br/>
        <w:br/>
        <w:t>2. RISK MITIGATION: Current risk level is rated MEDIUM. Reducing concentration by -17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(MODERATE): At 23% concentration, there is opportunity to further balance the supplier portfolio.</w:t>
        <w:br/>
        <w:br/>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INDIA, CHINA: These regions are identified as optimal for Solar Panels based on: </w:t>
        <w:br/>
        <w:t xml:space="preserve">   • India: Cost-effective operations + skilled workforce</w:t>
        <w:br/>
        <w:t xml:space="preserve">   • China: Manufacturing scale + supply chain efficiency</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solar panels with qualified alternate suppliers</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