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SOLAR PANELS DIVERSIFICATION</w:t>
      </w:r>
    </w:p>
    <w:p>
      <w:pPr>
        <w:jc w:val="center"/>
      </w:pPr>
      <w:r>
        <w:rPr>
          <w:i/>
          <w:sz w:val="22"/>
        </w:rPr>
        <w:t>Regional Concentration Analysis &amp; Diversification Strategy</w:t>
      </w:r>
    </w:p>
    <w:p>
      <w:pPr>
        <w:jc w:val="center"/>
      </w:pPr>
      <w:r>
        <w:rPr>
          <w:b/>
          <w:sz w:val="24"/>
        </w:rPr>
        <w:t>Total Category Spend 2026: USD 9,734,000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Peru</w:t>
            </w:r>
          </w:p>
        </w:tc>
        <w:tc>
          <w:tcPr>
            <w:tcW w:type="dxa" w:w="3360"/>
          </w:tcPr>
          <w:p>
            <w:r>
              <w:rPr>
                <w:sz w:val="20"/>
              </w:rPr>
              <w:t>23%</w:t>
            </w:r>
          </w:p>
        </w:tc>
        <w:tc>
          <w:tcPr>
            <w:tcW w:type="dxa" w:w="3360"/>
          </w:tcPr>
          <w:p>
            <w:r>
              <w:rPr>
                <w:sz w:val="20"/>
              </w:rPr>
              <w:t>$2,243,600</w:t>
            </w:r>
          </w:p>
        </w:tc>
      </w:tr>
      <w:tr>
        <w:tc>
          <w:tcPr>
            <w:tcW w:type="dxa" w:w="3360"/>
          </w:tcPr>
          <w:p>
            <w:r>
              <w:rPr>
                <w:sz w:val="20"/>
              </w:rPr>
              <w:t>USA</w:t>
            </w:r>
          </w:p>
        </w:tc>
        <w:tc>
          <w:tcPr>
            <w:tcW w:type="dxa" w:w="3360"/>
          </w:tcPr>
          <w:p>
            <w:r>
              <w:rPr>
                <w:sz w:val="20"/>
              </w:rPr>
              <w:t>21%</w:t>
            </w:r>
          </w:p>
        </w:tc>
        <w:tc>
          <w:tcPr>
            <w:tcW w:type="dxa" w:w="3360"/>
          </w:tcPr>
          <w:p>
            <w:r>
              <w:rPr>
                <w:sz w:val="20"/>
              </w:rPr>
              <w:t>$2,073,600</w:t>
            </w:r>
          </w:p>
        </w:tc>
      </w:tr>
      <w:tr>
        <w:tc>
          <w:tcPr>
            <w:tcW w:type="dxa" w:w="3360"/>
          </w:tcPr>
          <w:p>
            <w:r>
              <w:rPr>
                <w:sz w:val="20"/>
              </w:rPr>
              <w:t>Canada</w:t>
            </w:r>
          </w:p>
        </w:tc>
        <w:tc>
          <w:tcPr>
            <w:tcW w:type="dxa" w:w="3360"/>
          </w:tcPr>
          <w:p>
            <w:r>
              <w:rPr>
                <w:sz w:val="20"/>
              </w:rPr>
              <w:t>18%</w:t>
            </w:r>
          </w:p>
        </w:tc>
        <w:tc>
          <w:tcPr>
            <w:tcW w:type="dxa" w:w="3360"/>
          </w:tcPr>
          <w:p>
            <w:r>
              <w:rPr>
                <w:sz w:val="20"/>
              </w:rPr>
              <w:t>$1,724,300</w:t>
            </w:r>
          </w:p>
        </w:tc>
      </w:tr>
      <w:tr>
        <w:tc>
          <w:tcPr>
            <w:tcW w:type="dxa" w:w="3360"/>
          </w:tcPr>
          <w:p>
            <w:r>
              <w:rPr>
                <w:sz w:val="20"/>
              </w:rPr>
              <w:t>Saudi Arabia</w:t>
            </w:r>
          </w:p>
        </w:tc>
        <w:tc>
          <w:tcPr>
            <w:tcW w:type="dxa" w:w="3360"/>
          </w:tcPr>
          <w:p>
            <w:r>
              <w:rPr>
                <w:sz w:val="20"/>
              </w:rPr>
              <w:t>14%</w:t>
            </w:r>
          </w:p>
        </w:tc>
        <w:tc>
          <w:tcPr>
            <w:tcW w:type="dxa" w:w="3360"/>
          </w:tcPr>
          <w:p>
            <w:r>
              <w:rPr>
                <w:sz w:val="20"/>
              </w:rPr>
              <w:t>$1,371,400</w:t>
            </w:r>
          </w:p>
        </w:tc>
      </w:tr>
      <w:tr>
        <w:tc>
          <w:tcPr>
            <w:tcW w:type="dxa" w:w="3360"/>
          </w:tcPr>
          <w:p>
            <w:r>
              <w:rPr>
                <w:sz w:val="20"/>
              </w:rPr>
              <w:t>Singapore</w:t>
            </w:r>
          </w:p>
        </w:tc>
        <w:tc>
          <w:tcPr>
            <w:tcW w:type="dxa" w:w="3360"/>
          </w:tcPr>
          <w:p>
            <w:r>
              <w:rPr>
                <w:sz w:val="20"/>
              </w:rPr>
              <w:t>14%</w:t>
            </w:r>
          </w:p>
        </w:tc>
        <w:tc>
          <w:tcPr>
            <w:tcW w:type="dxa" w:w="3360"/>
          </w:tcPr>
          <w:p>
            <w:r>
              <w:rPr>
                <w:sz w:val="20"/>
              </w:rPr>
              <w:t>$1,328,600</w:t>
            </w:r>
          </w:p>
        </w:tc>
      </w:tr>
    </w:tbl>
    <w:p>
      <w:pPr>
        <w:spacing w:before="120"/>
      </w:pPr>
      <w:r>
        <w:t>Regional distribution is within acceptable limits, but diversification opportunities exist.</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Peru</w:t>
            </w:r>
          </w:p>
        </w:tc>
        <w:tc>
          <w:tcPr>
            <w:tcW w:type="dxa" w:w="2520"/>
          </w:tcPr>
          <w:p>
            <w:r>
              <w:rPr>
                <w:sz w:val="20"/>
              </w:rPr>
              <w:t>20%</w:t>
            </w:r>
          </w:p>
        </w:tc>
        <w:tc>
          <w:tcPr>
            <w:tcW w:type="dxa" w:w="2520"/>
          </w:tcPr>
          <w:p>
            <w:r>
              <w:rPr>
                <w:sz w:val="20"/>
              </w:rPr>
              <w:t>$1,946,800</w:t>
            </w:r>
          </w:p>
        </w:tc>
        <w:tc>
          <w:tcPr>
            <w:tcW w:type="dxa" w:w="2520"/>
          </w:tcPr>
          <w:p>
            <w:r>
              <w:rPr>
                <w:sz w:val="20"/>
              </w:rPr>
              <w:t>3% lower</w:t>
            </w:r>
          </w:p>
        </w:tc>
      </w:tr>
      <w:tr>
        <w:tc>
          <w:tcPr>
            <w:tcW w:type="dxa" w:w="2520"/>
          </w:tcPr>
          <w:p>
            <w:r>
              <w:rPr>
                <w:sz w:val="20"/>
              </w:rPr>
              <w:t>USA</w:t>
            </w:r>
          </w:p>
        </w:tc>
        <w:tc>
          <w:tcPr>
            <w:tcW w:type="dxa" w:w="2520"/>
          </w:tcPr>
          <w:p>
            <w:r>
              <w:rPr>
                <w:sz w:val="20"/>
              </w:rPr>
              <w:t>19%</w:t>
            </w:r>
          </w:p>
        </w:tc>
        <w:tc>
          <w:tcPr>
            <w:tcW w:type="dxa" w:w="2520"/>
          </w:tcPr>
          <w:p>
            <w:r>
              <w:rPr>
                <w:sz w:val="20"/>
              </w:rPr>
              <w:t>$1,849,460</w:t>
            </w:r>
          </w:p>
        </w:tc>
        <w:tc>
          <w:tcPr>
            <w:tcW w:type="dxa" w:w="2520"/>
          </w:tcPr>
          <w:p>
            <w:r>
              <w:rPr>
                <w:sz w:val="20"/>
              </w:rPr>
              <w:t>2% lower</w:t>
            </w:r>
          </w:p>
        </w:tc>
      </w:tr>
      <w:tr>
        <w:tc>
          <w:tcPr>
            <w:tcW w:type="dxa" w:w="2520"/>
          </w:tcPr>
          <w:p>
            <w:r>
              <w:rPr>
                <w:sz w:val="20"/>
              </w:rPr>
              <w:t>Canada</w:t>
            </w:r>
          </w:p>
        </w:tc>
        <w:tc>
          <w:tcPr>
            <w:tcW w:type="dxa" w:w="2520"/>
          </w:tcPr>
          <w:p>
            <w:r>
              <w:rPr>
                <w:sz w:val="20"/>
              </w:rPr>
              <w:t>16%</w:t>
            </w:r>
          </w:p>
        </w:tc>
        <w:tc>
          <w:tcPr>
            <w:tcW w:type="dxa" w:w="2520"/>
          </w:tcPr>
          <w:p>
            <w:r>
              <w:rPr>
                <w:sz w:val="20"/>
              </w:rPr>
              <w:t>$1,557,440</w:t>
            </w:r>
          </w:p>
        </w:tc>
        <w:tc>
          <w:tcPr>
            <w:tcW w:type="dxa" w:w="2520"/>
          </w:tcPr>
          <w:p>
            <w:r>
              <w:rPr>
                <w:sz w:val="20"/>
              </w:rPr>
              <w:t>2% lower</w:t>
            </w:r>
          </w:p>
        </w:tc>
      </w:tr>
      <w:tr>
        <w:tc>
          <w:tcPr>
            <w:tcW w:type="dxa" w:w="2520"/>
          </w:tcPr>
          <w:p>
            <w:r>
              <w:rPr>
                <w:sz w:val="20"/>
              </w:rPr>
              <w:t>India</w:t>
            </w:r>
          </w:p>
        </w:tc>
        <w:tc>
          <w:tcPr>
            <w:tcW w:type="dxa" w:w="2520"/>
          </w:tcPr>
          <w:p>
            <w:r>
              <w:rPr>
                <w:sz w:val="20"/>
              </w:rPr>
              <w:t>15%</w:t>
            </w:r>
          </w:p>
        </w:tc>
        <w:tc>
          <w:tcPr>
            <w:tcW w:type="dxa" w:w="2520"/>
          </w:tcPr>
          <w:p>
            <w:r>
              <w:rPr>
                <w:sz w:val="20"/>
              </w:rPr>
              <w:t>$1,460,100</w:t>
            </w:r>
          </w:p>
        </w:tc>
        <w:tc>
          <w:tcPr>
            <w:tcW w:type="dxa" w:w="2520"/>
          </w:tcPr>
          <w:p>
            <w:r>
              <w:rPr>
                <w:sz w:val="20"/>
              </w:rPr>
              <w:t>New addition</w:t>
            </w:r>
          </w:p>
        </w:tc>
      </w:tr>
      <w:tr>
        <w:tc>
          <w:tcPr>
            <w:tcW w:type="dxa" w:w="2520"/>
          </w:tcPr>
          <w:p>
            <w:r>
              <w:rPr>
                <w:sz w:val="20"/>
              </w:rPr>
              <w:t>China</w:t>
            </w:r>
          </w:p>
        </w:tc>
        <w:tc>
          <w:tcPr>
            <w:tcW w:type="dxa" w:w="2520"/>
          </w:tcPr>
          <w:p>
            <w:r>
              <w:rPr>
                <w:sz w:val="20"/>
              </w:rPr>
              <w:t>15%</w:t>
            </w:r>
          </w:p>
        </w:tc>
        <w:tc>
          <w:tcPr>
            <w:tcW w:type="dxa" w:w="2520"/>
          </w:tcPr>
          <w:p>
            <w:r>
              <w:rPr>
                <w:sz w:val="20"/>
              </w:rPr>
              <w:t>$1,460,100</w:t>
            </w:r>
          </w:p>
        </w:tc>
        <w:tc>
          <w:tcPr>
            <w:tcW w:type="dxa" w:w="2520"/>
          </w:tcPr>
          <w:p>
            <w:r>
              <w:rPr>
                <w:sz w:val="20"/>
              </w:rPr>
              <w:t>5% higher</w:t>
            </w:r>
          </w:p>
        </w:tc>
      </w:tr>
      <w:tr>
        <w:tc>
          <w:tcPr>
            <w:tcW w:type="dxa" w:w="2520"/>
          </w:tcPr>
          <w:p>
            <w:r>
              <w:rPr>
                <w:sz w:val="20"/>
              </w:rPr>
              <w:t>Mexico</w:t>
            </w:r>
          </w:p>
        </w:tc>
        <w:tc>
          <w:tcPr>
            <w:tcW w:type="dxa" w:w="2520"/>
          </w:tcPr>
          <w:p>
            <w:r>
              <w:rPr>
                <w:sz w:val="20"/>
              </w:rPr>
              <w:t>15%</w:t>
            </w:r>
          </w:p>
        </w:tc>
        <w:tc>
          <w:tcPr>
            <w:tcW w:type="dxa" w:w="2520"/>
          </w:tcPr>
          <w:p>
            <w:r>
              <w:rPr>
                <w:sz w:val="20"/>
              </w:rPr>
              <w:t>$1,460,100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$9,734,000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Peru</w:t>
            </w:r>
          </w:p>
        </w:tc>
        <w:tc>
          <w:tcPr>
            <w:tcW w:type="dxa" w:w="5040"/>
          </w:tcPr>
          <w:p>
            <w:r>
              <w:rPr>
                <w:sz w:val="20"/>
              </w:rPr>
              <w:t>23% → 20% = 13.0% reduction in share</w:t>
            </w:r>
          </w:p>
        </w:tc>
      </w:tr>
      <w:tr>
        <w:tc>
          <w:tcPr>
            <w:tcW w:type="dxa" w:w="5040"/>
          </w:tcPr>
          <w:p>
            <w:r>
              <w:rPr>
                <w:sz w:val="20"/>
              </w:rPr>
              <w:t>USA</w:t>
            </w:r>
          </w:p>
        </w:tc>
        <w:tc>
          <w:tcPr>
            <w:tcW w:type="dxa" w:w="5040"/>
          </w:tcPr>
          <w:p>
            <w:r>
              <w:rPr>
                <w:sz w:val="20"/>
              </w:rPr>
              <w:t>21% → 19% = 10.8% reduction in share</w:t>
            </w:r>
          </w:p>
        </w:tc>
      </w:tr>
      <w:tr>
        <w:tc>
          <w:tcPr>
            <w:tcW w:type="dxa" w:w="5040"/>
          </w:tcPr>
          <w:p>
            <w:r>
              <w:rPr>
                <w:sz w:val="20"/>
              </w:rPr>
              <w:t>Canada</w:t>
            </w:r>
          </w:p>
        </w:tc>
        <w:tc>
          <w:tcPr>
            <w:tcW w:type="dxa" w:w="5040"/>
          </w:tcPr>
          <w:p>
            <w:r>
              <w:rPr>
                <w:sz w:val="20"/>
              </w:rPr>
              <w:t>18% → 16% = 9.6%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23%</w:t>
            </w:r>
          </w:p>
        </w:tc>
        <w:tc>
          <w:tcPr>
            <w:tcW w:type="dxa" w:w="2520"/>
          </w:tcPr>
          <w:p>
            <w:r>
              <w:rPr>
                <w:sz w:val="20"/>
              </w:rPr>
              <w:t>0–0%</w:t>
            </w:r>
          </w:p>
        </w:tc>
        <w:tc>
          <w:tcPr>
            <w:tcW w:type="dxa" w:w="2520"/>
          </w:tcPr>
          <w:p>
            <w:r>
              <w:rPr>
                <w:sz w:val="20"/>
              </w:rPr>
              <w:t>0–0%</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Canada</w:t>
            </w:r>
          </w:p>
        </w:tc>
        <w:tc>
          <w:tcPr>
            <w:tcW w:type="dxa" w:w="3360"/>
          </w:tcPr>
          <w:p>
            <w:r>
              <w:rPr>
                <w:sz w:val="20"/>
              </w:rPr>
              <w:t>Diversification benefits + competitive pricing in Canada</w:t>
            </w:r>
          </w:p>
        </w:tc>
        <w:tc>
          <w:tcPr>
            <w:tcW w:type="dxa" w:w="3360"/>
          </w:tcPr>
          <w:p>
            <w:r>
              <w:rPr>
                <w:sz w:val="20"/>
              </w:rPr>
              <w:t>$116,808 – $262,818</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$116,808 – $262,818</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$116,808 – $262,818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$116,808 – $262,818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$467,232 – $1,051,272</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1.7/4.0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$467,232 – $1,051,272</w:t>
            </w:r>
          </w:p>
        </w:tc>
      </w:tr>
      <w:tr>
        <w:tc>
          <w:tcPr>
            <w:tcW w:type="dxa" w:w="5040"/>
          </w:tcPr>
          <w:p>
            <w:r>
              <w:rPr>
                <w:sz w:val="20"/>
              </w:rPr>
              <w:t>Risk Reduction Value</w:t>
            </w:r>
          </w:p>
        </w:tc>
        <w:tc>
          <w:tcPr>
            <w:tcW w:type="dxa" w:w="5040"/>
          </w:tcPr>
          <w:p>
            <w:r>
              <w:rPr>
                <w:sz w:val="20"/>
              </w:rPr>
              <w:t>$0</w:t>
            </w:r>
          </w:p>
        </w:tc>
      </w:tr>
      <w:tr>
        <w:tc>
          <w:tcPr>
            <w:tcW w:type="dxa" w:w="5040"/>
          </w:tcPr>
          <w:p>
            <w:r>
              <w:rPr>
                <w:sz w:val="20"/>
              </w:rPr>
              <w:t>ROI (First Year)</w:t>
            </w:r>
          </w:p>
        </w:tc>
        <w:tc>
          <w:tcPr>
            <w:tcW w:type="dxa" w:w="5040"/>
          </w:tcPr>
          <w:p>
            <w:r>
              <w:rPr>
                <w:sz w:val="20"/>
              </w:rPr>
              <w:t>140% – 440%</w:t>
            </w:r>
          </w:p>
        </w:tc>
      </w:tr>
      <w:tr>
        <w:tc>
          <w:tcPr>
            <w:tcW w:type="dxa" w:w="5040"/>
          </w:tcPr>
          <w:p>
            <w:r>
              <w:rPr>
                <w:sz w:val="20"/>
              </w:rPr>
              <w:t>3-Year Net Benefit</w:t>
            </w:r>
          </w:p>
        </w:tc>
        <w:tc>
          <w:tcPr>
            <w:tcW w:type="dxa" w:w="5040"/>
          </w:tcPr>
          <w:p>
            <w:r>
              <w:rPr>
                <w:sz w:val="20"/>
              </w:rPr>
              <w:t>$1,207,016 – $2,959,136</w:t>
            </w:r>
          </w:p>
        </w:tc>
      </w:tr>
    </w:tbl>
    <w:p/>
    <w:p>
      <w:pPr>
        <w:pStyle w:val="Heading2"/>
      </w:pPr>
      <w:r>
        <w:rPr>
          <w:color w:val="003366"/>
        </w:rPr>
        <w:t>STRATEGIC OUTCOME</w:t>
      </w:r>
    </w:p>
    <w:p>
      <w:pPr>
        <w:pStyle w:val="ListBullet"/>
      </w:pPr>
      <w:r>
        <w:t>Reduce primary region reliance by 13%</w:t>
      </w:r>
    </w:p>
    <w:p>
      <w:pPr>
        <w:pStyle w:val="ListBullet"/>
      </w:pPr>
      <w:r>
        <w:t>Add 4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~0% with blended cost advantage</w:t>
      </w:r>
    </w:p>
    <w:p/>
    <w:p>
      <w:pPr>
        <w:pStyle w:val="Heading2"/>
      </w:pPr>
      <w:r>
        <w:rPr>
          <w:color w:val="003366"/>
        </w:rPr>
        <w:t>WHY THIS MATTERS</w:t>
      </w:r>
    </w:p>
    <w:p>
      <w:r>
        <w:t xml:space="preserve">This analysis reveals a moderate supplier concentration issue in Solar Panels. With 23%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$467,232 to $1,051,272 in annual cost savings, representing a 140%-440% ROI on the estimated $194,680 implementation investment.</w:t>
        <w:br/>
        <w:br/>
        <w:t>2. RISK MITIGATION: Current risk level is rated MEDIUM. Reducing concentration by 0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23%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CANADA, INDIA: These regions are identified as optimal for Solar Panels based on: </w:t>
        <w:br/>
        <w:t xml:space="preserve">   • Canada: competitive market conditions</w:t>
        <w:br/>
        <w:t xml:space="preserve">   • India: Cost-effective operations + skilled workforce</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critical business issue at hand is the medium-level risk associated with the current supplier concentration in the solar panels category, with a total annual spend of $9,734,000. Despite having no high concentration regions, the regional distribution indicates potential for further diversification, with significant spend concentrated in Peru ($2,243,600 or 23.0%), USA ($2,073,600 or 21.3%), and Canada ($1,724,300 or 17.7%). This concentration, while within acceptable limits, presents an opportunity to enhance supply chain resilience and optimize procurement strategies.</w:t>
        <w:br/>
        <w:br/>
        <w:t>A high concentration of suppliers in specific regions can pose significant risks, as it increases vulnerability to regional disruptions such as geopolitical instability, natural disasters, or regulatory changes [SOURCE-5]. The importance of geographic diversification is underscored by best practices that recommend maintaining a diverse supplier base across multiple regions to mitigate these risks [SOURCE-1]. By expanding into emerging markets such as Africa and the Middle East, the company can leverage competitive labor costs and growing industrial bases, thereby enhancing supply chain stability and cost efficiency [SOURCE-2].</w:t>
        <w:br/>
        <w:br/>
        <w:t>The recommended diversification strategy involves reallocating portions of the current spend to suppliers in regions with untapped potential, such as Africa and the Middle East. This approach not only aligns with strategic sourcing principles but also capitalizes on the potential cost savings of 10-25% in select categories [SOURCE-3]. By adopting a dual sourcing strategy, the company can balance cost efficiency with risk mitigation, ensuring a robust and flexible supply chain [SOURCE-1].</w:t>
        <w:br/>
        <w:br/>
        <w:t>Implementing this diversification strategy is projected to yield annual savings between $467,232 and $1,051,272, with an impressive projected ROI ranging from 140% to 440%. These financial benefits, coupled with enhanced supply chain resilience and reduced exposure to regional risks, position the company to achieve long-term strategic advantages. By proactively addressing medium-level risks and optimizing supplier distribution, the company can secure a more stable and cost-effective procurement framework.</w:t>
        <w:br/>
        <w:br/>
        <w:t>---</w:t>
        <w:br/>
        <w:t>Sources: supplier_risk.txt, regional_strategy.txt, roi_calculations.txt</w:t>
      </w:r>
    </w:p>
    <w:p/>
    <w:p>
      <w:pPr>
        <w:pStyle w:val="Heading2"/>
      </w:pPr>
      <w:r>
        <w:rPr>
          <w:color w:val="003366"/>
        </w:rPr>
        <w:t>🤖 AI-POWERED RISK ANALYSIS</w:t>
      </w:r>
    </w:p>
    <w:p>
      <w:pPr>
        <w:spacing w:after="240"/>
      </w:pPr>
      <w:r>
        <w:t>## DETAILED RISK ANALYSIS</w:t>
        <w:br/>
        <w:br/>
        <w:t>### Current Risk Exposure</w:t>
        <w:br/>
        <w:br/>
        <w:t>The current risk exposure for the Solar Panels category is characterized by a medium overall risk level, with an overall risk score of 1.7 out of 4.0. This score reflects a balanced but concerning risk profile, particularly in the areas of supply chain and geographic concentration. The supply chain risk is assessed as medium, indicating potential vulnerabilities in supplier reliability and logistics that could impact procurement efficiency. Geographic risk is also rated as medium, suggesting a significant dependency on specific regions which could expose the supply chain to regional disruptions. Supplier diversity risk is rated as low, implying a relatively well-distributed supplier base that mitigates the risk of over-reliance on a single supplier or a small group of suppliers.</w:t>
        <w:br/>
        <w:br/>
        <w:t>### Rule Violation Analysis</w:t>
        <w:br/>
        <w:br/>
        <w:t>The data reveals several critical rule violations that exacerbate the risk profile. Notably, there is a significant violation in regional concentration, with 62.1% of the spend concentrated in the Americas, exceeding the acceptable limit of 40.0% by 22.1%. This concentration heightens the geographic risk by making the supply chain vulnerable to regional disruptions, such as political instability or natural disasters, as highlighted in [SOURCE-2]. Additionally, there are violations concerning minimum order quantity, diverse supplier spend, innovation supplier ratio, and supplier responsiveness. These violations indicate inefficiencies and potential weaknesses in procurement strategies, such as insufficient supplier engagement and innovation, which could hinder the ability to adapt to market changes and technological advancements.</w:t>
        <w:br/>
        <w:br/>
        <w:t>### Risk Interdependencies</w:t>
        <w:br/>
        <w:br/>
        <w:t>The calculated risks are interdependent and can compound each other, leading to a more complex risk landscape. For instance, the high regional concentration in the Americas not only increases geographic risk but also amplifies supply chain risk by limiting the flexibility to source from alternative regions in case of disruptions. This interconnectedness means that a disruption in one area could have cascading effects across the supply chain, potentially affecting cost, quality, and delivery timelines. The low innovation supplier ratio and diverse supplier spend further compound these risks by limiting the ability to pivot to innovative solutions or alternative suppliers quickly, as suggested in [SOURCE-1] and [SOURCE-3].</w:t>
        <w:br/>
        <w:br/>
        <w:t>### Mitigation Urgency</w:t>
        <w:br/>
        <w:br/>
        <w:t>Given the medium overall risk level and the specific rule violations, there is an urgent need for mitigation actions. The high concentration of spend in the Americas poses a critical risk that requires immediate attention to diversify the supplier base across other regions, such as Europe and APAC, to reduce dependency and enhance resilience, as recommended in [SOURCE-3]. Addressing the violations related to minimum order quantity and supplier responsiveness is also crucial to improve operational efficiency and supplier performance. By taking proactive measures to address these risks, the organization can enhance its supply chain resilience, reduce potential disruptions, and align with best practices for risk management as outlined in [SOURCE-1] and [SOURCE-2].</w:t>
        <w:br/>
        <w:br/>
        <w:t>---</w:t>
        <w:br/>
        <w:t>Sources: supplier_risk.txt, risk_assessment.txt, regional_strategy.txt</w:t>
      </w:r>
    </w:p>
    <w:p/>
    <w:p>
      <w:pPr>
        <w:pStyle w:val="Heading2"/>
      </w:pPr>
      <w:r>
        <w:rPr>
          <w:color w:val="003366"/>
        </w:rPr>
        <w:t>🤖 AI-GENERATED STRATEGIC RECOMMENDATIONS</w:t>
      </w:r>
    </w:p>
    <w:p>
      <w:pPr>
        <w:spacing w:after="240"/>
      </w:pPr>
      <w:r>
        <w:t>## STRATEGIC RECOMMENDATIONS</w:t>
        <w:br/>
        <w:br/>
        <w:t>### IMMEDIATE ACTIONS</w:t>
        <w:br/>
        <w:br/>
        <w:t>The first step in managing procurement for solar panels should be to address supplier concentration risk by diversifying the supplier base. According to [SOURCE-1], maintaining at least 3-5 qualified suppliers for critical categories is a best practice to mitigate supply chain risks. This aligns with the need to reduce dependency on a single source, which is identified as a critical risk in [SOURCE-4]. Immediate action should focus on qualifying new suppliers from diverse regions to ensure a balanced supply chain.</w:t>
        <w:br/>
        <w:br/>
        <w:t>### SHORT-TERM WINS</w:t>
        <w:br/>
        <w:br/>
        <w:t>To achieve quick wins, procurement should leverage the cost advantages identified in the data section. Specifically, regions such as Canada, India, China, and Mexico offer significant cost benefits, with potential savings ranging from $116,808 to $262,818 per region. By strategically sourcing from these regions, procurement can capitalize on competitive pricing and operational efficiencies, thereby reducing overall costs and enhancing supply chain resilience.</w:t>
        <w:br/>
        <w:br/>
        <w:t>### STRATEGIC INITIATIVES</w:t>
        <w:br/>
        <w:br/>
        <w:t>Following the initial supplier qualification, the procurement team should proceed with the implementation phases outlined in the data section. Phase 1 involves supplier qualification over weeks 1-4, ensuring that new suppliers meet all necessary criteria. Phase 2, spanning weeks 5-12, involves entering into pilot contracts to test supplier performance. This is followed by a performance review in week 13, leading to a scale-up phase from weeks 14-26. These strategic initiatives will not only diversify the supplier base but also optimize procurement processes for long-term benefits.</w:t>
        <w:br/>
        <w:br/>
        <w:t>### GOVERNANCE &amp; MONITORING</w:t>
        <w:br/>
        <w:br/>
        <w:t>To effectively track the projected savings, a robust governance framework should be established. This includes setting up key performance indicators (KPIs) to monitor supplier performance and cost savings. Regular audits and performance reviews should be conducted to ensure that the projected savings of $467,232 to $1,051,272 are realized. Additionally, maintaining clear communication channels with suppliers will help address any issues promptly and ensure alignment with procurement goals.</w:t>
        <w:br/>
        <w:br/>
        <w:t>### SUCCESS METRICS</w:t>
        <w:br/>
        <w:br/>
        <w:t>The success of these initiatives can be measured using the ROI and payback metrics provided in the data section. With a projected 3-year net benefit ranging from $1,207,016 to $2,959,136 and a payback period of 2.2 to 5.0 months, these metrics will serve as benchmarks for evaluating the effectiveness of the procurement strategy. By achieving these targets, the procurement team can demonstrate the value of strategic sourcing and its impact on the organization's bottom line.</w:t>
        <w:br/>
        <w:br/>
        <w:t>In conclusion, by following these strategic recommendations and leveraging the data-driven insights provided, procurement can enhance its supply chain resilience, achieve significant cost savings, and ensure sustainable growth in the solar panel category.</w:t>
        <w:br/>
        <w:br/>
        <w:t>---</w:t>
        <w:br/>
        <w:t>Sources: supplier_risk.txt, roi_calculations.txt, regional_strategy.txt</w:t>
      </w:r>
    </w:p>
    <w:p/>
    <w:p>
      <w:pPr>
        <w:pStyle w:val="Heading2"/>
      </w:pPr>
      <w:r>
        <w:rPr>
          <w:color w:val="003366"/>
        </w:rPr>
        <w:t>🤖 AI MARKET INTELLIGENCE</w:t>
      </w:r>
    </w:p>
    <w:p>
      <w:pPr>
        <w:spacing w:after="240"/>
      </w:pPr>
      <w:r>
        <w:t>The Solar Panels market continues to evolve with shifting global supply dynamics. Current sourcing</w:t>
        <w:br/>
        <w:t>is concentrated in Peru, USA, Canada,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Solar Panels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Canada, India, China</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