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SOLAR PANELS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2026: USD 9,734,000</w:t>
      </w:r>
    </w:p>
    <w:p/>
    <w:p>
      <w:pPr>
        <w:pStyle w:val="Heading2"/>
      </w:pPr>
      <w:r>
        <w:rPr>
          <w:color w:val="003366"/>
        </w:rPr>
        <w:t>ORIGINAL SPEND CONCENTRATION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Peru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$2,243,600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21%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$2,073,600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Canada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18%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$1,724,300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Saudi Arabia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14%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$1,371,400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Singapore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14%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$1,328,600</w:t>
            </w:r>
          </w:p>
        </w:tc>
      </w:tr>
    </w:tbl>
    <w:p>
      <w:pPr>
        <w:spacing w:before="120"/>
      </w:pPr>
      <w:r>
        <w:t>Regional distribution is within acceptable limits, but diversification opportunities exist.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Peru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$1,946,800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19%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$1,849,460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Canada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16%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$1,557,440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$1,460,100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$1,460,100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5% higher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$1,460,100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$9,734,000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Peru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23% → 20% = 13.0%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21% → 19% = 10.8%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Canada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18% → 16% = 9.6%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2026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Americas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0–0%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0–0%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Canada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Canada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$116,808 – $262,818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Cost-effective operations + skilled workforce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$116,808 – $262,818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Manufacturing scale + supply chain efficiency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$116,808 – $262,818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Nearshoring benefits + trade agreements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$116,808 – $262,818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$467,232 – $1,051,272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1.7/4.0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$467,232 – $1,051,272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140% – 440%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$1,207,016 – $2,959,136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primary region reliance by 13%</w:t>
      </w:r>
    </w:p>
    <w:p>
      <w:pPr>
        <w:pStyle w:val="ListBullet"/>
      </w:pPr>
      <w:r>
        <w:t>Add 4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~0% with blended cost advantage</w:t>
      </w:r>
    </w:p>
    <w:p/>
    <w:p>
      <w:pPr>
        <w:pStyle w:val="Heading2"/>
      </w:pPr>
      <w:r>
        <w:rPr>
          <w:color w:val="003366"/>
        </w:rPr>
        <w:t>WHY THIS MATTERS</w:t>
      </w:r>
    </w:p>
    <w:p>
      <w:r>
        <w:t xml:space="preserve">This analysis reveals a moderate supplier concentration issue in Solar Panels. With 23% of spend concentrated with one supplier, the organization faces significant vulnerability to supply disruptions, limited negotiating leverage, and reduced ability to respond to market changes. </w:t>
        <w:br/>
        <w:br/>
        <w:t>This matters because: (1) Supply chain resilience is now a board-level priority, (2) Procurement concentration directly impacts business continuity risk profiles, (3) Diversification typically yields 5-15% cost improvements through competitive pressure, and (4) opportunity for optimization to maintain competitive procurement operations.</w:t>
      </w:r>
    </w:p>
    <w:p/>
    <w:p>
      <w:pPr>
        <w:pStyle w:val="Heading2"/>
      </w:pPr>
      <w:r>
        <w:rPr>
          <w:color w:val="003366"/>
        </w:rPr>
        <w:t>BUSINESS JUSTIFICATION</w:t>
      </w:r>
    </w:p>
    <w:p>
      <w:r>
        <w:t>BUSINESS CASE JUSTIFICATION:</w:t>
        <w:br/>
        <w:br/>
        <w:t>1. FINANCIAL RETURN: The proposed diversification is projected to deliver $467,232 to $1,051,272 in annual cost savings, representing a 140%-440% ROI on the estimated $194,680 implementation investment.</w:t>
        <w:br/>
        <w:br/>
        <w:t>2. RISK MITIGATION: Current risk level is rated MEDIUM. Reducing concentration by 0 percentage points will significantly lower supply chain vulnerability, improve business continuity, and reduce exposure to single-source disruptions.</w:t>
        <w:br/>
        <w:br/>
        <w:t>3. STRATEGIC VALUE: Beyond direct savings, diversification enables: (a) Improved negotiating leverage with existing suppliers, (b) Access to innovation from multiple sources, (c) Flexibility to respond to demand changes, and (d) Alignment with enterprise risk management policies.</w:t>
      </w:r>
    </w:p>
    <w:p/>
    <w:p>
      <w:pPr>
        <w:pStyle w:val="Heading2"/>
      </w:pPr>
      <w:r>
        <w:rPr>
          <w:color w:val="003366"/>
        </w:rPr>
        <w:t>RISK ANALYSIS</w:t>
      </w:r>
    </w:p>
    <w:p>
      <w:r>
        <w:t>RISK ANALYSIS REASONING:</w:t>
        <w:br/>
        <w:br/>
        <w:t>• SUPPLIER RISK (MODERATE): At 23% concentration, there is opportunity to further balance the supplier portfolio.</w:t>
        <w:br/>
        <w:br/>
      </w:r>
    </w:p>
    <w:p/>
    <w:p>
      <w:pPr>
        <w:pStyle w:val="Heading2"/>
      </w:pPr>
      <w:r>
        <w:rPr>
          <w:color w:val="003366"/>
        </w:rPr>
        <w:t>RECOMMENDATION RATIONALE</w:t>
      </w:r>
    </w:p>
    <w:p>
      <w:r>
        <w:t>RECOMMENDATION RATIONALE:</w:t>
        <w:br/>
        <w:br/>
        <w:t>The recommended diversification strategy is based on:</w:t>
        <w:br/>
        <w:br/>
        <w:t>1. IDENTIFY ALTERNATE SUPPLIERS: New supplier qualification should prioritize candidates with existing certifications, proven track records, and geographic diversity from current sources.</w:t>
        <w:br/>
        <w:br/>
        <w:t xml:space="preserve">2. REGIONAL DIVERSIFICATION TO CANADA, INDIA: These regions are identified as optimal for Solar Panels based on: </w:t>
        <w:br/>
        <w:t xml:space="preserve">   • Canada: competitive market conditions</w:t>
        <w:br/>
        <w:t xml:space="preserve">   • India: Cost-effective operations + skilled workforce</w:t>
        <w:br/>
        <w:br/>
        <w:t>3. PHASED IMPLEMENTATION: The 26-week timeline allows for: controlled pilot testing, performance validation before scale-up, and risk mitigation through gradual volume transitions rather than abrupt supplier changes that could disrupt operations.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Canada, India, China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