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RICE DIVERSIFICATION</w:t>
      </w:r>
    </w:p>
    <w:p>
      <w:pPr>
        <w:jc w:val="center"/>
      </w:pPr>
      <w:r>
        <w:rPr>
          <w:i/>
          <w:sz w:val="22"/>
        </w:rPr>
        <w:t>Supplier Concentration Analysis &amp; Diversification Strategy</w:t>
      </w:r>
    </w:p>
    <w:p>
      <w:pPr>
        <w:jc w:val="center"/>
      </w:pPr>
      <w:r>
        <w:rPr>
          <w:b/>
          <w:sz w:val="24"/>
        </w:rPr>
        <w:t>Total Category Spend 2026: USD 8,655,500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2026 Original</w:t>
            </w:r>
          </w:p>
        </w:tc>
      </w:tr>
      <w:tr>
        <w:tc>
          <w:tcPr>
            <w:tcW w:type="dxa" w:w="5040"/>
          </w:tcPr>
          <w:p>
            <w:r>
              <w:rPr>
                <w:sz w:val="20"/>
              </w:rPr>
              <w:t>Supplier</w:t>
            </w:r>
          </w:p>
        </w:tc>
        <w:tc>
          <w:tcPr>
            <w:tcW w:type="dxa" w:w="5040"/>
          </w:tcPr>
          <w:p>
            <w:r>
              <w:rPr>
                <w:sz w:val="20"/>
              </w:rPr>
              <w:t>Olam International</w:t>
            </w:r>
          </w:p>
        </w:tc>
      </w:tr>
      <w:tr>
        <w:tc>
          <w:tcPr>
            <w:tcW w:type="dxa" w:w="5040"/>
          </w:tcPr>
          <w:p>
            <w:r>
              <w:rPr>
                <w:sz w:val="20"/>
              </w:rPr>
              <w:t>Supplier Location</w:t>
            </w:r>
          </w:p>
        </w:tc>
        <w:tc>
          <w:tcPr>
            <w:tcW w:type="dxa" w:w="5040"/>
          </w:tcPr>
          <w:p>
            <w:r>
              <w:rPr>
                <w:sz w:val="20"/>
              </w:rPr>
              <w:t>Singapore</w:t>
            </w:r>
          </w:p>
        </w:tc>
      </w:tr>
      <w:tr>
        <w:tc>
          <w:tcPr>
            <w:tcW w:type="dxa" w:w="5040"/>
          </w:tcPr>
          <w:p>
            <w:r>
              <w:rPr>
                <w:sz w:val="20"/>
              </w:rPr>
              <w:t>Spend Share</w:t>
            </w:r>
          </w:p>
        </w:tc>
        <w:tc>
          <w:tcPr>
            <w:tcW w:type="dxa" w:w="5040"/>
          </w:tcPr>
          <w:p>
            <w:r>
              <w:rPr>
                <w:sz w:val="20"/>
              </w:rPr>
              <w:t>26% = USD 2,241,300</w:t>
            </w:r>
          </w:p>
        </w:tc>
      </w:tr>
      <w:tr>
        <w:tc>
          <w:tcPr>
            <w:tcW w:type="dxa" w:w="5040"/>
          </w:tcPr>
          <w:p>
            <w:r>
              <w:rPr>
                <w:sz w:val="20"/>
              </w:rPr>
              <w:t>Current Rice Buying from Supplier</w:t>
            </w:r>
          </w:p>
        </w:tc>
        <w:tc>
          <w:tcPr>
            <w:tcW w:type="dxa" w:w="5040"/>
          </w:tcPr>
          <w:p>
            <w:r>
              <w:rPr>
                <w:sz w:val="20"/>
              </w:rPr>
              <w:t>Yes</w:t>
            </w:r>
          </w:p>
        </w:tc>
      </w:tr>
      <w:tr>
        <w:tc>
          <w:tcPr>
            <w:tcW w:type="dxa" w:w="5040"/>
          </w:tcPr>
          <w:p>
            <w:r>
              <w:rPr>
                <w:sz w:val="20"/>
              </w:rPr>
              <w:t>Alternate Supplier for Rice</w:t>
            </w:r>
          </w:p>
        </w:tc>
        <w:tc>
          <w:tcPr>
            <w:tcW w:type="dxa" w:w="5040"/>
          </w:tcPr>
          <w:p>
            <w:r>
              <w:rPr>
                <w:sz w:val="20"/>
              </w:rPr>
              <w:t>None active today</w:t>
            </w:r>
          </w:p>
        </w:tc>
      </w:tr>
      <w:tr>
        <w:tc>
          <w:tcPr>
            <w:tcW w:type="dxa" w:w="5040"/>
          </w:tcPr>
          <w:p>
            <w:r>
              <w:rPr>
                <w:sz w:val="20"/>
              </w:rPr>
              <w:t>Key Risk</w:t>
            </w:r>
          </w:p>
        </w:tc>
        <w:tc>
          <w:tcPr>
            <w:tcW w:type="dxa" w:w="5040"/>
          </w:tcPr>
          <w:p>
            <w:r>
              <w:rPr>
                <w:sz w:val="20"/>
              </w:rPr>
              <w:t>Moderate concentration in APAC with 8 suppliers</w:t>
            </w:r>
          </w:p>
        </w:tc>
      </w:tr>
    </w:tbl>
    <w:p/>
    <w:p>
      <w:pPr>
        <w:pStyle w:val="Heading3"/>
      </w:pPr>
      <w:r>
        <w:rPr>
          <w:color w:val="003366"/>
        </w:rPr>
        <w:t>OVERALL RISK STATEMENT</w:t>
      </w:r>
    </w:p>
    <w:p>
      <w:pPr>
        <w:spacing w:after="240"/>
      </w:pPr>
      <w:r>
        <w:t xml:space="preserve">Our current rice procurement involves 8 suppliers, with Olam International as the dominant supplier at 26% of total category spend (USD 2,241,300 of USD 8,655,500 in 2026). Other suppliers include: Argentina Prime Harvest Corp (19%), Colombia Agri Corp Corp (12%), Belgium Farm Fresh Ltd (12%). All suppliers operate from Singapore. We do not have alternate suppliers activated for this category. </w:t>
        <w:br/>
        <w:br/>
        <w:t>This creates a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Olam International</w:t>
            </w:r>
          </w:p>
        </w:tc>
        <w:tc>
          <w:tcPr>
            <w:tcW w:type="dxa" w:w="2520"/>
          </w:tcPr>
          <w:p>
            <w:r>
              <w:rPr>
                <w:sz w:val="20"/>
              </w:rPr>
              <w:t>26%</w:t>
            </w:r>
          </w:p>
        </w:tc>
        <w:tc>
          <w:tcPr>
            <w:tcW w:type="dxa" w:w="2520"/>
          </w:tcPr>
          <w:p>
            <w:r>
              <w:rPr>
                <w:sz w:val="20"/>
              </w:rPr>
              <w:t>40%</w:t>
            </w:r>
          </w:p>
        </w:tc>
        <w:tc>
          <w:tcPr>
            <w:tcW w:type="dxa" w:w="2520"/>
          </w:tcPr>
          <w:p>
            <w:r>
              <w:rPr>
                <w:sz w:val="20"/>
              </w:rPr>
              <w:t>26% -&gt; 40% = -54.5% reduction</w:t>
            </w:r>
          </w:p>
        </w:tc>
      </w:tr>
      <w:tr>
        <w:tc>
          <w:tcPr>
            <w:tcW w:type="dxa" w:w="2520"/>
          </w:tcPr>
          <w:p>
            <w:r>
              <w:rPr>
                <w:sz w:val="20"/>
              </w:rPr>
              <w:t>New Alternate Supplier</w:t>
            </w:r>
          </w:p>
        </w:tc>
        <w:tc>
          <w:tcPr>
            <w:tcW w:type="dxa" w:w="2520"/>
          </w:tcPr>
          <w:p>
            <w:r>
              <w:rPr>
                <w:sz w:val="20"/>
              </w:rPr>
              <w:t>0%</w:t>
            </w:r>
          </w:p>
        </w:tc>
        <w:tc>
          <w:tcPr>
            <w:tcW w:type="dxa" w:w="2520"/>
          </w:tcPr>
          <w:p>
            <w:r>
              <w:rPr>
                <w:sz w:val="20"/>
              </w:rPr>
              <w:t>10%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Net Reduction</w:t>
            </w:r>
          </w:p>
        </w:tc>
      </w:tr>
      <w:tr>
        <w:tc>
          <w:tcPr>
            <w:tcW w:type="dxa" w:w="2520"/>
          </w:tcPr>
          <w:p>
            <w:r>
              <w:rPr>
                <w:sz w:val="20"/>
              </w:rPr>
              <w:t>Southeast Asia Supply Corridor</w:t>
            </w:r>
          </w:p>
        </w:tc>
        <w:tc>
          <w:tcPr>
            <w:tcW w:type="dxa" w:w="2520"/>
          </w:tcPr>
          <w:p>
            <w:r>
              <w:rPr>
                <w:sz w:val="20"/>
              </w:rPr>
              <w:t>26%</w:t>
            </w:r>
          </w:p>
        </w:tc>
        <w:tc>
          <w:tcPr>
            <w:tcW w:type="dxa" w:w="2520"/>
          </w:tcPr>
          <w:p>
            <w:r>
              <w:rPr>
                <w:sz w:val="20"/>
              </w:rPr>
              <w:t>0-0%</w:t>
            </w:r>
          </w:p>
        </w:tc>
        <w:tc>
          <w:tcPr>
            <w:tcW w:type="dxa" w:w="2520"/>
          </w:tcPr>
          <w:p>
            <w:r>
              <w:rPr>
                <w:sz w:val="20"/>
              </w:rPr>
              <w:t>26-26%</w:t>
            </w:r>
          </w:p>
        </w:tc>
      </w:tr>
    </w:tbl>
    <w:p/>
    <w:p>
      <w:pPr>
        <w:pStyle w:val="Heading2"/>
      </w:pPr>
      <w:r>
        <w:rPr>
          <w:color w:val="003366"/>
        </w:rPr>
        <w:t>COST ADVANTAGE PROJECTION FROM ADDING NEW ALTERNATE SUPPLIER INTO RICE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China</w:t>
            </w:r>
          </w:p>
        </w:tc>
        <w:tc>
          <w:tcPr>
            <w:tcW w:type="dxa" w:w="3360"/>
          </w:tcPr>
          <w:p>
            <w:r>
              <w:rPr>
                <w:sz w:val="20"/>
              </w:rPr>
              <w:t>Manufacturing scale + supply chain efficiency</w:t>
            </w:r>
          </w:p>
        </w:tc>
        <w:tc>
          <w:tcPr>
            <w:tcW w:type="dxa" w:w="3360"/>
          </w:tcPr>
          <w:p>
            <w:r>
              <w:rPr>
                <w:sz w:val="20"/>
              </w:rPr>
              <w:t>$103,866 – $233,698</w:t>
            </w:r>
          </w:p>
        </w:tc>
      </w:tr>
      <w:tr>
        <w:tc>
          <w:tcPr>
            <w:tcW w:type="dxa" w:w="3360"/>
          </w:tcPr>
          <w:p>
            <w:r>
              <w:rPr>
                <w:sz w:val="20"/>
              </w:rPr>
              <w:t>Mexico</w:t>
            </w:r>
          </w:p>
        </w:tc>
        <w:tc>
          <w:tcPr>
            <w:tcW w:type="dxa" w:w="3360"/>
          </w:tcPr>
          <w:p>
            <w:r>
              <w:rPr>
                <w:sz w:val="20"/>
              </w:rPr>
              <w:t>Nearshoring benefits + trade agreements</w:t>
            </w:r>
          </w:p>
        </w:tc>
        <w:tc>
          <w:tcPr>
            <w:tcW w:type="dxa" w:w="3360"/>
          </w:tcPr>
          <w:p>
            <w:r>
              <w:rPr>
                <w:sz w:val="20"/>
              </w:rPr>
              <w:t>$103,866 – $233,698</w:t>
            </w:r>
          </w:p>
        </w:tc>
      </w:tr>
      <w:tr>
        <w:tc>
          <w:tcPr>
            <w:tcW w:type="dxa" w:w="3360"/>
          </w:tcPr>
          <w:p>
            <w:r>
              <w:rPr>
                <w:sz w:val="20"/>
              </w:rPr>
              <w:t>Eastern Europe</w:t>
            </w:r>
          </w:p>
        </w:tc>
        <w:tc>
          <w:tcPr>
            <w:tcW w:type="dxa" w:w="3360"/>
          </w:tcPr>
          <w:p>
            <w:r>
              <w:rPr>
                <w:sz w:val="20"/>
              </w:rPr>
              <w:t>Diversification benefits + competitive pricing in Eastern Europe</w:t>
            </w:r>
          </w:p>
        </w:tc>
        <w:tc>
          <w:tcPr>
            <w:tcW w:type="dxa" w:w="3360"/>
          </w:tcPr>
          <w:p>
            <w:r>
              <w:rPr>
                <w:sz w:val="20"/>
              </w:rPr>
              <w:t>$103,866 – $233,698</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$311,598 – $701,094</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LOW</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LOW</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LOW</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1.0/4.0</w:t>
            </w:r>
          </w:p>
        </w:tc>
        <w:tc>
          <w:tcPr>
            <w:tcW w:type="dxa" w:w="3360"/>
          </w:tcPr>
          <w:p>
            <w:r>
              <w:rPr>
                <w:sz w:val="20"/>
              </w:rPr>
              <w:t>LOW</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$311,598 – $701,094</w:t>
            </w:r>
          </w:p>
        </w:tc>
      </w:tr>
      <w:tr>
        <w:tc>
          <w:tcPr>
            <w:tcW w:type="dxa" w:w="5040"/>
          </w:tcPr>
          <w:p>
            <w:r>
              <w:rPr>
                <w:sz w:val="20"/>
              </w:rPr>
              <w:t>Risk Reduction Value</w:t>
            </w:r>
          </w:p>
        </w:tc>
        <w:tc>
          <w:tcPr>
            <w:tcW w:type="dxa" w:w="5040"/>
          </w:tcPr>
          <w:p>
            <w:r>
              <w:rPr>
                <w:sz w:val="20"/>
              </w:rPr>
              <w:t>$-61,065</w:t>
            </w:r>
          </w:p>
        </w:tc>
      </w:tr>
      <w:tr>
        <w:tc>
          <w:tcPr>
            <w:tcW w:type="dxa" w:w="5040"/>
          </w:tcPr>
          <w:p>
            <w:r>
              <w:rPr>
                <w:sz w:val="20"/>
              </w:rPr>
              <w:t>Implementation Cost</w:t>
            </w:r>
          </w:p>
        </w:tc>
        <w:tc>
          <w:tcPr>
            <w:tcW w:type="dxa" w:w="5040"/>
          </w:tcPr>
          <w:p>
            <w:r>
              <w:rPr>
                <w:sz w:val="20"/>
              </w:rPr>
              <w:t>$173,110</w:t>
            </w:r>
          </w:p>
        </w:tc>
      </w:tr>
      <w:tr>
        <w:tc>
          <w:tcPr>
            <w:tcW w:type="dxa" w:w="5040"/>
          </w:tcPr>
          <w:p>
            <w:r>
              <w:rPr>
                <w:sz w:val="20"/>
              </w:rPr>
              <w:t>ROI (First Year)</w:t>
            </w:r>
          </w:p>
        </w:tc>
        <w:tc>
          <w:tcPr>
            <w:tcW w:type="dxa" w:w="5040"/>
          </w:tcPr>
          <w:p>
            <w:r>
              <w:rPr>
                <w:sz w:val="20"/>
              </w:rPr>
              <w:t>45% – 270%</w:t>
            </w:r>
          </w:p>
        </w:tc>
      </w:tr>
      <w:tr>
        <w:tc>
          <w:tcPr>
            <w:tcW w:type="dxa" w:w="5040"/>
          </w:tcPr>
          <w:p>
            <w:r>
              <w:rPr>
                <w:sz w:val="20"/>
              </w:rPr>
              <w:t>Payback Period</w:t>
            </w:r>
          </w:p>
        </w:tc>
        <w:tc>
          <w:tcPr>
            <w:tcW w:type="dxa" w:w="5040"/>
          </w:tcPr>
          <w:p>
            <w:r>
              <w:rPr>
                <w:sz w:val="20"/>
              </w:rPr>
              <w:t>8.3 – 3.2 months</w:t>
            </w:r>
          </w:p>
        </w:tc>
      </w:tr>
      <w:tr>
        <w:tc>
          <w:tcPr>
            <w:tcW w:type="dxa" w:w="5040"/>
          </w:tcPr>
          <w:p>
            <w:r>
              <w:rPr>
                <w:sz w:val="20"/>
              </w:rPr>
              <w:t>3-Year Net Benefit</w:t>
            </w:r>
          </w:p>
        </w:tc>
        <w:tc>
          <w:tcPr>
            <w:tcW w:type="dxa" w:w="5040"/>
          </w:tcPr>
          <w:p>
            <w:r>
              <w:rPr>
                <w:sz w:val="20"/>
              </w:rPr>
              <w:t>$578,490 – $1,746,978</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Olam International</w:t>
            </w:r>
          </w:p>
        </w:tc>
        <w:tc>
          <w:tcPr>
            <w:tcW w:type="dxa" w:w="2016"/>
          </w:tcPr>
          <w:p>
            <w:r>
              <w:rPr>
                <w:sz w:val="20"/>
              </w:rPr>
              <w:t>$2,241,300</w:t>
            </w:r>
          </w:p>
        </w:tc>
        <w:tc>
          <w:tcPr>
            <w:tcW w:type="dxa" w:w="2016"/>
          </w:tcPr>
          <w:p>
            <w:r>
              <w:rPr>
                <w:sz w:val="20"/>
              </w:rPr>
              <w:t>4.7/5.0</w:t>
            </w:r>
          </w:p>
        </w:tc>
        <w:tc>
          <w:tcPr>
            <w:tcW w:type="dxa" w:w="2016"/>
          </w:tcPr>
          <w:p>
            <w:r>
              <w:rPr>
                <w:sz w:val="20"/>
              </w:rPr>
              <w:t>91%</w:t>
            </w:r>
          </w:p>
        </w:tc>
        <w:tc>
          <w:tcPr>
            <w:tcW w:type="dxa" w:w="2016"/>
          </w:tcPr>
          <w:p>
            <w:r>
              <w:rPr>
                <w:sz w:val="20"/>
              </w:rPr>
              <w:t>8.0/10</w:t>
            </w:r>
          </w:p>
        </w:tc>
      </w:tr>
      <w:tr>
        <w:tc>
          <w:tcPr>
            <w:tcW w:type="dxa" w:w="2016"/>
          </w:tcPr>
          <w:p>
            <w:r>
              <w:rPr>
                <w:sz w:val="20"/>
              </w:rPr>
              <w:t>Farm Fresh Inc</w:t>
            </w:r>
          </w:p>
        </w:tc>
        <w:tc>
          <w:tcPr>
            <w:tcW w:type="dxa" w:w="2016"/>
          </w:tcPr>
          <w:p>
            <w:r>
              <w:rPr>
                <w:sz w:val="20"/>
              </w:rPr>
              <w:t>$708,300</w:t>
            </w:r>
          </w:p>
        </w:tc>
        <w:tc>
          <w:tcPr>
            <w:tcW w:type="dxa" w:w="2016"/>
          </w:tcPr>
          <w:p>
            <w:r>
              <w:rPr>
                <w:sz w:val="20"/>
              </w:rPr>
              <w:t>4.4/5.0</w:t>
            </w:r>
          </w:p>
        </w:tc>
        <w:tc>
          <w:tcPr>
            <w:tcW w:type="dxa" w:w="2016"/>
          </w:tcPr>
          <w:p>
            <w:r>
              <w:rPr>
                <w:sz w:val="20"/>
              </w:rPr>
              <w:t>88%</w:t>
            </w:r>
          </w:p>
        </w:tc>
        <w:tc>
          <w:tcPr>
            <w:tcW w:type="dxa" w:w="2016"/>
          </w:tcPr>
          <w:p>
            <w:r>
              <w:rPr>
                <w:sz w:val="20"/>
              </w:rPr>
              <w:t>8.3/10</w:t>
            </w:r>
          </w:p>
        </w:tc>
      </w:tr>
      <w:tr>
        <w:tc>
          <w:tcPr>
            <w:tcW w:type="dxa" w:w="2016"/>
          </w:tcPr>
          <w:p>
            <w:r>
              <w:rPr>
                <w:sz w:val="20"/>
              </w:rPr>
              <w:t>KRBL Ltd</w:t>
            </w:r>
          </w:p>
        </w:tc>
        <w:tc>
          <w:tcPr>
            <w:tcW w:type="dxa" w:w="2016"/>
          </w:tcPr>
          <w:p>
            <w:r>
              <w:rPr>
                <w:sz w:val="20"/>
              </w:rPr>
              <w:t>$756,000</w:t>
            </w:r>
          </w:p>
        </w:tc>
        <w:tc>
          <w:tcPr>
            <w:tcW w:type="dxa" w:w="2016"/>
          </w:tcPr>
          <w:p>
            <w:r>
              <w:rPr>
                <w:sz w:val="20"/>
              </w:rPr>
              <w:t>4.5/5.0</w:t>
            </w:r>
          </w:p>
        </w:tc>
        <w:tc>
          <w:tcPr>
            <w:tcW w:type="dxa" w:w="2016"/>
          </w:tcPr>
          <w:p>
            <w:r>
              <w:rPr>
                <w:sz w:val="20"/>
              </w:rPr>
              <w:t>84%</w:t>
            </w:r>
          </w:p>
        </w:tc>
        <w:tc>
          <w:tcPr>
            <w:tcW w:type="dxa" w:w="2016"/>
          </w:tcPr>
          <w:p>
            <w:r>
              <w:rPr>
                <w:sz w:val="20"/>
              </w:rPr>
              <w:t>8.0/10</w:t>
            </w:r>
          </w:p>
        </w:tc>
      </w:tr>
      <w:tr>
        <w:tc>
          <w:tcPr>
            <w:tcW w:type="dxa" w:w="2016"/>
          </w:tcPr>
          <w:p>
            <w:r>
              <w:rPr>
                <w:sz w:val="20"/>
              </w:rPr>
              <w:t>Australia Grain Masters Enterprises</w:t>
            </w:r>
          </w:p>
        </w:tc>
        <w:tc>
          <w:tcPr>
            <w:tcW w:type="dxa" w:w="2016"/>
          </w:tcPr>
          <w:p>
            <w:r>
              <w:rPr>
                <w:sz w:val="20"/>
              </w:rPr>
              <w:t>$558,400</w:t>
            </w:r>
          </w:p>
        </w:tc>
        <w:tc>
          <w:tcPr>
            <w:tcW w:type="dxa" w:w="2016"/>
          </w:tcPr>
          <w:p>
            <w:r>
              <w:rPr>
                <w:sz w:val="20"/>
              </w:rPr>
              <w:t>4.9/5.0</w:t>
            </w:r>
          </w:p>
        </w:tc>
        <w:tc>
          <w:tcPr>
            <w:tcW w:type="dxa" w:w="2016"/>
          </w:tcPr>
          <w:p>
            <w:r>
              <w:rPr>
                <w:sz w:val="20"/>
              </w:rPr>
              <w:t>81%</w:t>
            </w:r>
          </w:p>
        </w:tc>
        <w:tc>
          <w:tcPr>
            <w:tcW w:type="dxa" w:w="2016"/>
          </w:tcPr>
          <w:p>
            <w:r>
              <w:rPr>
                <w:sz w:val="20"/>
              </w:rPr>
              <w:t>6.8/10</w:t>
            </w:r>
          </w:p>
        </w:tc>
      </w:tr>
      <w:tr>
        <w:tc>
          <w:tcPr>
            <w:tcW w:type="dxa" w:w="2016"/>
          </w:tcPr>
          <w:p>
            <w:r>
              <w:rPr>
                <w:sz w:val="20"/>
              </w:rPr>
              <w:t>Vietnam Food Corp</w:t>
            </w:r>
          </w:p>
        </w:tc>
        <w:tc>
          <w:tcPr>
            <w:tcW w:type="dxa" w:w="2016"/>
          </w:tcPr>
          <w:p>
            <w:r>
              <w:rPr>
                <w:sz w:val="20"/>
              </w:rPr>
              <w:t>$702,000</w:t>
            </w:r>
          </w:p>
        </w:tc>
        <w:tc>
          <w:tcPr>
            <w:tcW w:type="dxa" w:w="2016"/>
          </w:tcPr>
          <w:p>
            <w:r>
              <w:rPr>
                <w:sz w:val="20"/>
              </w:rPr>
              <w:t>4.4/5.0</w:t>
            </w:r>
          </w:p>
        </w:tc>
        <w:tc>
          <w:tcPr>
            <w:tcW w:type="dxa" w:w="2016"/>
          </w:tcPr>
          <w:p>
            <w:r>
              <w:rPr>
                <w:sz w:val="20"/>
              </w:rPr>
              <w:t>86%</w:t>
            </w:r>
          </w:p>
        </w:tc>
        <w:tc>
          <w:tcPr>
            <w:tcW w:type="dxa" w:w="2016"/>
          </w:tcPr>
          <w:p>
            <w:r>
              <w:rPr>
                <w:sz w:val="20"/>
              </w:rPr>
              <w:t>8.0/10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9</w:t>
            </w:r>
          </w:p>
        </w:tc>
      </w:tr>
      <w:tr>
        <w:tc>
          <w:tcPr>
            <w:tcW w:type="dxa" w:w="5040"/>
          </w:tcPr>
          <w:p>
            <w:r>
              <w:rPr>
                <w:sz w:val="20"/>
              </w:rPr>
              <w:t>Total Warnings</w:t>
            </w:r>
          </w:p>
        </w:tc>
        <w:tc>
          <w:tcPr>
            <w:tcW w:type="dxa" w:w="5040"/>
          </w:tcPr>
          <w:p>
            <w:r>
              <w:rPr>
                <w:sz w:val="20"/>
              </w:rPr>
              <w:t>0</w:t>
            </w:r>
          </w:p>
        </w:tc>
      </w:tr>
      <w:tr>
        <w:tc>
          <w:tcPr>
            <w:tcW w:type="dxa" w:w="5040"/>
          </w:tcPr>
          <w:p>
            <w:r>
              <w:rPr>
                <w:sz w:val="20"/>
              </w:rPr>
              <w:t>Compliance Rate</w:t>
            </w:r>
          </w:p>
        </w:tc>
        <w:tc>
          <w:tcPr>
            <w:tcW w:type="dxa" w:w="5040"/>
          </w:tcPr>
          <w:p>
            <w:r>
              <w:rPr>
                <w:sz w:val="20"/>
              </w:rPr>
              <w:t>74%</w:t>
            </w:r>
          </w:p>
        </w:tc>
      </w:tr>
    </w:tbl>
    <w:p/>
    <w:p>
      <w:r>
        <w:rPr>
          <w:b/>
        </w:rPr>
        <w:t>Violations Detected:</w:t>
      </w:r>
    </w:p>
    <w:p>
      <w:pPr>
        <w:pStyle w:val="ListBullet"/>
      </w:pPr>
      <w:r>
        <w:t>R001: Regional Concentration</w:t>
      </w:r>
    </w:p>
    <w:p>
      <w:pPr>
        <w:pStyle w:val="ListBullet"/>
      </w:pPr>
      <w:r>
        <w:t>R012: Minimum Order Quantity</w:t>
      </w:r>
    </w:p>
    <w:p>
      <w:pPr>
        <w:pStyle w:val="ListBullet"/>
      </w:pPr>
      <w:r>
        <w:t>R015: Diverse Supplier Spend</w:t>
      </w:r>
    </w:p>
    <w:p>
      <w:pPr>
        <w:pStyle w:val="ListBullet"/>
      </w:pPr>
      <w:r>
        <w:t>R016: Innovation Supplier Ratio</w:t>
      </w:r>
    </w:p>
    <w:p>
      <w:pPr>
        <w:pStyle w:val="ListBullet"/>
      </w:pPr>
      <w:r>
        <w:t>R020: Supplier Responsiveness</w:t>
      </w:r>
    </w:p>
    <w:p/>
    <w:p>
      <w:pPr>
        <w:pStyle w:val="Heading2"/>
      </w:pPr>
      <w:r>
        <w:rPr>
          <w:color w:val="003366"/>
        </w:rPr>
        <w:t>STRATEGIC OUTCOME</w:t>
      </w:r>
    </w:p>
    <w:p>
      <w:pPr>
        <w:pStyle w:val="ListBullet"/>
      </w:pPr>
      <w:r>
        <w:t>Reduce single-supplier concentration from 26% to 40% in Phase 1</w:t>
      </w:r>
    </w:p>
    <w:p>
      <w:pPr>
        <w:pStyle w:val="ListBullet"/>
      </w:pPr>
      <w:r>
        <w:t>Activate diversified spend via new qualified suppliers</w:t>
      </w:r>
    </w:p>
    <w:p>
      <w:pPr>
        <w:pStyle w:val="ListBullet"/>
      </w:pPr>
      <w:r>
        <w:t>Improve pricing leverage through supplier competition</w:t>
      </w:r>
    </w:p>
    <w:p>
      <w:pPr>
        <w:pStyle w:val="ListBullet"/>
      </w:pPr>
      <w:r>
        <w:t>Reduce southeast asia supply corridor risk by ~26%</w:t>
      </w:r>
    </w:p>
    <w:p>
      <w:pPr>
        <w:pStyle w:val="ListBullet"/>
      </w:pPr>
      <w:r>
        <w:t>Achieve estimated annual cost advantage of USD 311,598-701,094 while improving supply continuity</w:t>
      </w:r>
    </w:p>
    <w:p/>
    <w:p>
      <w:pPr>
        <w:pStyle w:val="Heading2"/>
      </w:pPr>
      <w:r>
        <w:rPr>
          <w:color w:val="003366"/>
        </w:rPr>
        <w:t>WHY THIS MATTERS</w:t>
      </w:r>
    </w:p>
    <w:p>
      <w:r>
        <w:t>## Market Intelligence Brief: Rice Category</w:t>
        <w:br/>
        <w:br/>
        <w:t>The global rice market is currently influenced by several key trends that procurement professionals should consider. Supply chain resilience has become a critical priority at the board level, driven by the need to mitigate risks associated with geopolitical tensions and ensure continuity in supply [SOURCE-2]. This is particularly relevant for regions such as Vietnam and India, which are significant players in the rice market due to their manufacturing scale and cost efficiency [SOURCE-1]. Additionally, sustainability requirements are increasingly impacting supplier selection, as companies strive to meet regulatory compliance and consumer expectations [SOURCE-2].</w:t>
        <w:br/>
        <w:br/>
        <w:t>From a regional supply chain perspective, the APAC region, including countries like Vietnam and India, offers significant advantages in terms of manufacturing scale and cost efficiency, making it a strategic choice for sourcing rice [SOURCE-1]. However, the high geographic concentration of suppliers in this region poses a critical risk, as over 70% reliance on a single region can lead to vulnerabilities in the supply chain [SOURCE-2]. To mitigate this risk, procurement strategies should consider diversifying across stable regions such as Europe and the Americas, which offer strong infrastructure and established supply chains [SOURCE-1].</w:t>
        <w:br/>
        <w:br/>
        <w:t>For procurement decisions, it is essential to balance the benefits of cost efficiency and manufacturing scale in the APAC region with the need for diversification to reduce geopolitical and single-source dependency risks [SOURCE-2]. Leveraging digital transformation tools can enhance supplier visibility and facilitate better decision-making processes, ensuring that sustainability and compliance requirements are met [SOURCE-2]. By considering these factors, procurement teams can develop a more resilient and sustainable supply chain strategy for the rice category.</w:t>
        <w:br/>
        <w:br/>
        <w:t>---</w:t>
        <w:br/>
        <w:t>Sources: regional_strategy.txt, risk_assessment.txt, spend_data.csv:Grains &amp; Cereals</w:t>
      </w:r>
    </w:p>
    <w:p/>
    <w:p>
      <w:pPr>
        <w:pStyle w:val="Heading2"/>
      </w:pPr>
      <w:r>
        <w:rPr>
          <w:color w:val="003366"/>
        </w:rPr>
        <w:t>BUSINESS JUSTIFICATION</w:t>
      </w:r>
    </w:p>
    <w:p>
      <w:r>
        <w:t>BUSINESS CASE JUSTIFICATION:</w:t>
        <w:br/>
        <w:br/>
        <w:t>1. FINANCIAL RETURN: The proposed diversification is projected to deliver $311,598 to $701,094 in annual cost savings, representing a 45%-270% ROI on the estimated $173,110 implementation investment.</w:t>
        <w:br/>
        <w:br/>
        <w:t>2. RISK MITIGATION: Current risk level is rated LOW. Reducing concentration by -14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w:t>
        <w:br/>
        <w:br/>
        <w:t>SUPPLIER RISK (MODERATE): At 26% concentration, there is opportunity to further balance the supplier portfolio.</w:t>
        <w:br/>
        <w:br/>
      </w:r>
    </w:p>
    <w:p/>
    <w:p>
      <w:pPr>
        <w:pStyle w:val="Heading2"/>
      </w:pPr>
      <w:r>
        <w:rPr>
          <w:color w:val="003366"/>
        </w:rPr>
        <w:t>RECOMMENDATION RATIONALE</w:t>
      </w:r>
    </w:p>
    <w:p>
      <w:r>
        <w:t>## STRATEGIC RECOMMENDATIONS</w:t>
        <w:br/>
        <w:br/>
        <w:t>To enhance supply chain resilience and optimize procurement costs, the proposed diversification strategy aims to reduce the dominant supplier's share from 25.9% to a target of 40% by incorporating new suppliers from China, Mexico, and Eastern Europe. This approach aligns with industry best practices that emphasize geographic diversification to mitigate supply chain risks, as highlighted in [SOURCE-1]. By expanding into these regions, the strategy leverages their cost efficiency and robust manufacturing capabilities, particularly in China and Mexico, which are recognized for their strong infrastructure and established supply chains [SOURCE-3]. Additionally, Eastern Europe offers a balance of quality focus and regulatory compliance, making it a strategic choice for diversification [SOURCE-3].</w:t>
        <w:br/>
        <w:br/>
        <w:t>The selection of these specific regions is driven by their competitive advantages in terms of cost and logistics. China and Mexico are known for their manufacturing scale and cost efficiency, while Eastern Europe provides a strategic foothold in the European market with its emphasis on quality and compliance [SOURCE-3]. This regional diversification not only reduces the risk of over-dependence on a single supplier but also capitalizes on the potential cost savings of 8-18% as indicated in the industry context [SOURCE-2]. Furthermore, by incorporating suppliers from these regions, the strategy aligns with the best practice of maintaining at least 3-5 qualified suppliers for critical categories, thereby enhancing supply chain flexibility and resilience [SOURCE-1].</w:t>
        <w:br/>
        <w:br/>
        <w:t>However, entering new markets can present challenges such as navigating regulatory environments and ensuring supplier compliance. To mitigate these risks, it is crucial to conduct thorough due diligence and establish robust supplier qualification processes. Additionally, implementing a dual sourcing strategy can balance cost efficiency with risk mitigation, ensuring a steady supply chain even in the face of geopolitical uncertainties [SOURCE-4]. By following these strategic guidelines, the proposed diversification plan not only addresses current supply chain vulnerabilities but also positions the company for sustainable growth and competitive advantage in the global market.</w:t>
        <w:br/>
        <w:br/>
        <w:t>---</w:t>
        <w:br/>
        <w:t>Sources: supplier_risk.txt, roi_calculations.txt, regional_strategy.txt</w:t>
      </w:r>
    </w:p>
    <w:p/>
    <w:p>
      <w:pPr>
        <w:pStyle w:val="Heading2"/>
      </w:pPr>
      <w:r>
        <w:rPr>
          <w:color w:val="003366"/>
        </w:rPr>
        <w:t>🤖 AI-GENERATED EXECUTIVE SUMMARY</w:t>
      </w:r>
    </w:p>
    <w:p>
      <w:pPr>
        <w:spacing w:after="240"/>
      </w:pPr>
      <w:r>
        <w:t>This analysis identifies a critical supplier concentration issue in our procurement portfolio, with Olam International representing 26% of the $8,655,500 annual spend. The current risk level is rated LOW, requiring immediate attention to ensure supply chain continuity.</w:t>
        <w:br/>
        <w:br/>
        <w:t>The recommended diversification strategy targets a reduction in concentration to 55% through phased activation of alternate suppliers and regional diversification. This initiative is projected to deliver $311,598 to $701,094 in annual cost savings with a 45%-270% ROI.</w:t>
        <w:br/>
        <w:br/>
        <w:t>Implementation follows a 26-week phased approach beginning with supplier qualification, followed by pilot contracts and performance validation before full scale-up.</w:t>
      </w:r>
    </w:p>
    <w:p/>
    <w:p>
      <w:pPr>
        <w:pStyle w:val="Heading2"/>
      </w:pPr>
      <w:r>
        <w:rPr>
          <w:color w:val="003366"/>
        </w:rPr>
        <w:t>🤖 AI-POWERED RISK ANALYSIS</w:t>
      </w:r>
    </w:p>
    <w:p>
      <w:pPr>
        <w:spacing w:after="240"/>
      </w:pPr>
      <w:r>
        <w:t>## Risk Analysis Narrative</w:t>
        <w:br/>
        <w:br/>
        <w:t>Based on the provided data, the most critical risk identified is the potential for single supplier dependency, as Olam International accounts for 25.9% of the total supplier concentration. Although this percentage does not exceed the 60% threshold that would trigger a critical risk level according to [SOURCE-3] and [SOURCE-5], it is important to monitor this concentration closely to prevent future dependency issues. The geographic concentration in Singapore, also at 25.9%, poses a low geographic risk, as it is well below the 70% threshold that would indicate high risk [SOURCE-1]. However, maintaining a diversified supplier base across multiple regions remains a best practice to mitigate potential geopolitical and supply chain disruptions [SOURCE-2].</w:t>
        <w:br/>
        <w:br/>
        <w:t>The business impact of these risks, if not managed proactively, could lead to supply chain disruptions, increased costs, and reduced flexibility. A high concentration with a single supplier or region can make the supply chain vulnerable to localized disruptions, such as natural disasters or political instability, which could severely impact operations and financial performance. To mitigate these risks, it is advisable to adopt dual sourcing strategies and maintain at least 3-5 qualified suppliers for critical categories, as recommended in [SOURCE-2]. Additionally, expanding supplier networks into emerging markets like Africa and the Middle East could provide diversification benefits and reduce exposure to single-region risks [SOURCE-4].</w:t>
        <w:br/>
        <w:br/>
        <w:t>Prioritizing risk management efforts should focus on maintaining compliance with existing rules and addressing the nine rule violations identified in the data. Ensuring that these violations are rectified will help maintain a high compliance rate and minimize potential operational disruptions. Immediate attention should be given to diversifying the supplier base and exploring alternative suppliers to reduce dependency on Olam International, aligning with best practices outlined in [SOURCE-3] and [SOURCE-5]. By addressing these areas, the organization can enhance its supply chain resilience and maintain a low overall risk level.</w:t>
        <w:br/>
        <w:br/>
        <w:t>---</w:t>
        <w:br/>
        <w:t>Sources: risk_assessment.txt, supplier_risk.txt, procurement_rulebook.csv</w:t>
      </w:r>
    </w:p>
    <w:p/>
    <w:p>
      <w:pPr>
        <w:pStyle w:val="Heading2"/>
      </w:pPr>
      <w:r>
        <w:rPr>
          <w:color w:val="003366"/>
        </w:rPr>
        <w:t>🤖 AI-GENERATED STRATEGIC RECOMMENDATIONS</w:t>
      </w:r>
    </w:p>
    <w:p>
      <w:pPr>
        <w:spacing w:after="240"/>
      </w:pPr>
      <w:r>
        <w:t>## STRATEGIC RECOMMENDATIONS</w:t>
        <w:br/>
        <w:br/>
        <w:t>To enhance supply chain resilience and optimize procurement costs, the proposed diversification strategy aims to reduce the dominant supplier's share from 25.9% to a target of 40% by incorporating new suppliers from China, Mexico, and Eastern Europe. This approach aligns with industry best practices that emphasize geographic diversification to mitigate supply chain risks, as highlighted in [SOURCE-1]. By expanding into these regions, the strategy leverages their cost efficiency and robust manufacturing capabilities, particularly in China and Mexico, which are recognized for their strong infrastructure and established supply chains [SOURCE-3]. Additionally, Eastern Europe offers a balance of quality focus and regulatory compliance, making it a strategic choice for diversification [SOURCE-3].</w:t>
        <w:br/>
        <w:br/>
        <w:t>The selection of these specific regions is driven by their competitive advantages in terms of cost and logistics. China and Mexico are known for their manufacturing scale and cost efficiency, while Eastern Europe provides a strategic foothold in the European market with its emphasis on quality and compliance [SOURCE-3]. This regional diversification not only reduces the risk of over-dependence on a single supplier but also capitalizes on the potential cost savings of 8-18% as indicated in the industry context [SOURCE-2]. Furthermore, by incorporating suppliers from these regions, the strategy aligns with the best practice of maintaining at least 3-5 qualified suppliers for critical categories, thereby enhancing supply chain flexibility and resilience [SOURCE-1].</w:t>
        <w:br/>
        <w:br/>
        <w:t>However, entering new markets can present challenges such as navigating regulatory environments and ensuring supplier compliance. To mitigate these risks, it is crucial to conduct thorough due diligence and establish robust supplier qualification processes. Additionally, implementing a dual sourcing strategy can balance cost efficiency with risk mitigation, ensuring a steady supply chain even in the face of geopolitical uncertainties [SOURCE-4]. By following these strategic guidelines, the proposed diversification plan not only addresses current supply chain vulnerabilities but also positions the company for sustainable growth and competitive advantage in the global market.</w:t>
        <w:br/>
        <w:br/>
        <w:t>---</w:t>
        <w:br/>
        <w:t>Sources: supplier_risk.txt, roi_calculations.txt, regional_strategy.txt</w:t>
      </w:r>
    </w:p>
    <w:p/>
    <w:p>
      <w:pPr>
        <w:pStyle w:val="Heading2"/>
      </w:pPr>
      <w:r>
        <w:rPr>
          <w:color w:val="003366"/>
        </w:rPr>
        <w:t>🤖 AI MARKET INTELLIGENCE</w:t>
      </w:r>
    </w:p>
    <w:p>
      <w:pPr>
        <w:spacing w:after="240"/>
      </w:pPr>
      <w:r>
        <w:t>## Market Intelligence Brief: Rice Category</w:t>
        <w:br/>
        <w:br/>
        <w:t>The global rice market is currently influenced by several key trends that procurement professionals should consider. Supply chain resilience has become a critical priority at the board level, driven by the need to mitigate risks associated with geopolitical tensions and ensure continuity in supply [SOURCE-2]. This is particularly relevant for regions such as Vietnam and India, which are significant players in the rice market due to their manufacturing scale and cost efficiency [SOURCE-1]. Additionally, sustainability requirements are increasingly impacting supplier selection, as companies strive to meet regulatory compliance and consumer expectations [SOURCE-2].</w:t>
        <w:br/>
        <w:br/>
        <w:t>From a regional supply chain perspective, the APAC region, including countries like Vietnam and India, offers significant advantages in terms of manufacturing scale and cost efficiency, making it a strategic choice for sourcing rice [SOURCE-1]. However, the high geographic concentration of suppliers in this region poses a critical risk, as over 70% reliance on a single region can lead to vulnerabilities in the supply chain [SOURCE-2]. To mitigate this risk, procurement strategies should consider diversifying across stable regions such as Europe and the Americas, which offer strong infrastructure and established supply chains [SOURCE-1].</w:t>
        <w:br/>
        <w:br/>
        <w:t>For procurement decisions, it is essential to balance the benefits of cost efficiency and manufacturing scale in the APAC region with the need for diversification to reduce geopolitical and single-source dependency risks [SOURCE-2]. Leveraging digital transformation tools can enhance supplier visibility and facilitate better decision-making processes, ensuring that sustainability and compliance requirements are met [SOURCE-2]. By considering these factors, procurement teams can develop a more resilient and sustainable supply chain strategy for the rice category.</w:t>
        <w:br/>
        <w:br/>
        <w:t>---</w:t>
        <w:br/>
        <w:t>Sources: regional_strategy.txt, risk_assessment.txt, spend_data.csv:Grains &amp; Cereals</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Shortlist suppliers in China, Mexico, Eastern Europe</w:t>
      </w:r>
    </w:p>
    <w:p>
      <w:r>
        <w:t>2. Initiate 8-12 week pilot contracts</w:t>
      </w:r>
    </w:p>
    <w:p>
      <w:r>
        <w:t>3. Review pricing and delivery performance quarterly</w:t>
      </w:r>
    </w:p>
    <w:p>
      <w:r>
        <w:t>4. Reduce concentration further if pilots outperform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