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RICE DIVERSIFICATION</w:t>
      </w:r>
    </w:p>
    <w:p>
      <w:pPr>
        <w:jc w:val="center"/>
      </w:pPr>
      <w:r>
        <w:rPr>
          <w:i/>
          <w:sz w:val="22"/>
        </w:rPr>
        <w:t>Supplier Concentration Analysis &amp; Diversification Strategy</w:t>
      </w:r>
    </w:p>
    <w:p>
      <w:pPr>
        <w:jc w:val="center"/>
      </w:pPr>
      <w:r>
        <w:rPr>
          <w:b/>
          <w:sz w:val="24"/>
        </w:rPr>
        <w:t>Total Category Spend 2026: USD 8,655,500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Olam International</w:t>
            </w:r>
          </w:p>
        </w:tc>
      </w:tr>
      <w:tr>
        <w:tc>
          <w:tcPr>
            <w:tcW w:type="dxa" w:w="5040"/>
          </w:tcPr>
          <w:p>
            <w:r>
              <w:rPr>
                <w:sz w:val="20"/>
              </w:rPr>
              <w:t>Supplier Location</w:t>
            </w:r>
          </w:p>
        </w:tc>
        <w:tc>
          <w:tcPr>
            <w:tcW w:type="dxa" w:w="5040"/>
          </w:tcPr>
          <w:p>
            <w:r>
              <w:rPr>
                <w:sz w:val="20"/>
              </w:rPr>
              <w:t>Singapore</w:t>
            </w:r>
          </w:p>
        </w:tc>
      </w:tr>
      <w:tr>
        <w:tc>
          <w:tcPr>
            <w:tcW w:type="dxa" w:w="5040"/>
          </w:tcPr>
          <w:p>
            <w:r>
              <w:rPr>
                <w:sz w:val="20"/>
              </w:rPr>
              <w:t>Spend Share</w:t>
            </w:r>
          </w:p>
        </w:tc>
        <w:tc>
          <w:tcPr>
            <w:tcW w:type="dxa" w:w="5040"/>
          </w:tcPr>
          <w:p>
            <w:r>
              <w:rPr>
                <w:sz w:val="20"/>
              </w:rPr>
              <w:t>26% = USD 2,241,300</w:t>
            </w:r>
          </w:p>
        </w:tc>
      </w:tr>
      <w:tr>
        <w:tc>
          <w:tcPr>
            <w:tcW w:type="dxa" w:w="5040"/>
          </w:tcPr>
          <w:p>
            <w:r>
              <w:rPr>
                <w:sz w:val="20"/>
              </w:rPr>
              <w:t>Current Rice Buying from Supplier</w:t>
            </w:r>
          </w:p>
        </w:tc>
        <w:tc>
          <w:tcPr>
            <w:tcW w:type="dxa" w:w="5040"/>
          </w:tcPr>
          <w:p>
            <w:r>
              <w:rPr>
                <w:sz w:val="20"/>
              </w:rPr>
              <w:t>Yes</w:t>
            </w:r>
          </w:p>
        </w:tc>
      </w:tr>
      <w:tr>
        <w:tc>
          <w:tcPr>
            <w:tcW w:type="dxa" w:w="5040"/>
          </w:tcPr>
          <w:p>
            <w:r>
              <w:rPr>
                <w:sz w:val="20"/>
              </w:rPr>
              <w:t>Alternate Supplier for Rice</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APAC with 8 suppliers</w:t>
            </w:r>
          </w:p>
        </w:tc>
      </w:tr>
    </w:tbl>
    <w:p/>
    <w:p>
      <w:pPr>
        <w:pStyle w:val="Heading3"/>
      </w:pPr>
      <w:r>
        <w:rPr>
          <w:color w:val="003366"/>
        </w:rPr>
        <w:t>OVERALL RISK STATEMENT</w:t>
      </w:r>
    </w:p>
    <w:p>
      <w:pPr>
        <w:spacing w:after="240"/>
      </w:pPr>
      <w:r>
        <w:t xml:space="preserve">Our current rice procurement involves 8 suppliers, with Olam International as the dominant supplier at 26% of total category spend (USD 2,241,300 of USD 8,655,500 in 2026). Other suppliers include: Argentina Prime Harvest Corp (19%), Colombia Agri Corp Corp (12%), Belgium Farm Fresh Ltd (12%). All suppliers operate from Singapore. We do not have alternate suppliers activated for this category.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Olam International</w:t>
            </w:r>
          </w:p>
        </w:tc>
        <w:tc>
          <w:tcPr>
            <w:tcW w:type="dxa" w:w="2520"/>
          </w:tcPr>
          <w:p>
            <w:r>
              <w:rPr>
                <w:sz w:val="20"/>
              </w:rPr>
              <w:t>26%</w:t>
            </w:r>
          </w:p>
        </w:tc>
        <w:tc>
          <w:tcPr>
            <w:tcW w:type="dxa" w:w="2520"/>
          </w:tcPr>
          <w:p>
            <w:r>
              <w:rPr>
                <w:sz w:val="20"/>
              </w:rPr>
              <w:t>40%</w:t>
            </w:r>
          </w:p>
        </w:tc>
        <w:tc>
          <w:tcPr>
            <w:tcW w:type="dxa" w:w="2520"/>
          </w:tcPr>
          <w:p>
            <w:r>
              <w:rPr>
                <w:sz w:val="20"/>
              </w:rPr>
              <w:t>26% -&gt; 40% = -54.5%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Southeast Asia Supply Corridor</w:t>
            </w:r>
          </w:p>
        </w:tc>
        <w:tc>
          <w:tcPr>
            <w:tcW w:type="dxa" w:w="2520"/>
          </w:tcPr>
          <w:p>
            <w:r>
              <w:rPr>
                <w:sz w:val="20"/>
              </w:rPr>
              <w:t>26%</w:t>
            </w:r>
          </w:p>
        </w:tc>
        <w:tc>
          <w:tcPr>
            <w:tcW w:type="dxa" w:w="2520"/>
          </w:tcPr>
          <w:p>
            <w:r>
              <w:rPr>
                <w:sz w:val="20"/>
              </w:rPr>
              <w:t>0-0%</w:t>
            </w:r>
          </w:p>
        </w:tc>
        <w:tc>
          <w:tcPr>
            <w:tcW w:type="dxa" w:w="2520"/>
          </w:tcPr>
          <w:p>
            <w:r>
              <w:rPr>
                <w:sz w:val="20"/>
              </w:rPr>
              <w:t>26-26%</w:t>
            </w:r>
          </w:p>
        </w:tc>
      </w:tr>
    </w:tbl>
    <w:p/>
    <w:p>
      <w:pPr>
        <w:pStyle w:val="Heading2"/>
      </w:pPr>
      <w:r>
        <w:rPr>
          <w:color w:val="003366"/>
        </w:rPr>
        <w:t>COST ADVANTAGE PROJECTION FROM ADDING NEW ALTERNATE SUPPLIER INTO RICE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$103,866 – $233,698</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$103,866 – $233,698</w:t>
            </w:r>
          </w:p>
        </w:tc>
      </w:tr>
      <w:tr>
        <w:tc>
          <w:tcPr>
            <w:tcW w:type="dxa" w:w="3360"/>
          </w:tcPr>
          <w:p>
            <w:r>
              <w:rPr>
                <w:sz w:val="20"/>
              </w:rPr>
              <w:t>Eastern Europe</w:t>
            </w:r>
          </w:p>
        </w:tc>
        <w:tc>
          <w:tcPr>
            <w:tcW w:type="dxa" w:w="3360"/>
          </w:tcPr>
          <w:p>
            <w:r>
              <w:rPr>
                <w:sz w:val="20"/>
              </w:rPr>
              <w:t>Diversification benefits + competitive pricing in Eastern Europe</w:t>
            </w:r>
          </w:p>
        </w:tc>
        <w:tc>
          <w:tcPr>
            <w:tcW w:type="dxa" w:w="3360"/>
          </w:tcPr>
          <w:p>
            <w:r>
              <w:rPr>
                <w:sz w:val="20"/>
              </w:rPr>
              <w:t>$103,866 – $233,698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$311,598 – $701,094</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LOW</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LOW</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LOW</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1.0/4.0</w:t>
            </w:r>
          </w:p>
        </w:tc>
        <w:tc>
          <w:tcPr>
            <w:tcW w:type="dxa" w:w="3360"/>
          </w:tcPr>
          <w:p>
            <w:r>
              <w:rPr>
                <w:sz w:val="20"/>
              </w:rPr>
              <w:t>LOW</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$311,598 – $701,094</w:t>
            </w:r>
          </w:p>
        </w:tc>
      </w:tr>
      <w:tr>
        <w:tc>
          <w:tcPr>
            <w:tcW w:type="dxa" w:w="5040"/>
          </w:tcPr>
          <w:p>
            <w:r>
              <w:rPr>
                <w:sz w:val="20"/>
              </w:rPr>
              <w:t>Risk Reduction Value</w:t>
            </w:r>
          </w:p>
        </w:tc>
        <w:tc>
          <w:tcPr>
            <w:tcW w:type="dxa" w:w="5040"/>
          </w:tcPr>
          <w:p>
            <w:r>
              <w:rPr>
                <w:sz w:val="20"/>
              </w:rPr>
              <w:t>$-61,065</w:t>
            </w:r>
          </w:p>
        </w:tc>
      </w:tr>
      <w:tr>
        <w:tc>
          <w:tcPr>
            <w:tcW w:type="dxa" w:w="5040"/>
          </w:tcPr>
          <w:p>
            <w:r>
              <w:rPr>
                <w:sz w:val="20"/>
              </w:rPr>
              <w:t>Implementation Cost</w:t>
            </w:r>
          </w:p>
        </w:tc>
        <w:tc>
          <w:tcPr>
            <w:tcW w:type="dxa" w:w="5040"/>
          </w:tcPr>
          <w:p>
            <w:r>
              <w:rPr>
                <w:sz w:val="20"/>
              </w:rPr>
              <w:t>$173,110</w:t>
            </w:r>
          </w:p>
        </w:tc>
      </w:tr>
      <w:tr>
        <w:tc>
          <w:tcPr>
            <w:tcW w:type="dxa" w:w="5040"/>
          </w:tcPr>
          <w:p>
            <w:r>
              <w:rPr>
                <w:sz w:val="20"/>
              </w:rPr>
              <w:t>ROI (First Year)</w:t>
            </w:r>
          </w:p>
        </w:tc>
        <w:tc>
          <w:tcPr>
            <w:tcW w:type="dxa" w:w="5040"/>
          </w:tcPr>
          <w:p>
            <w:r>
              <w:rPr>
                <w:sz w:val="20"/>
              </w:rPr>
              <w:t>45% – 270%</w:t>
            </w:r>
          </w:p>
        </w:tc>
      </w:tr>
      <w:tr>
        <w:tc>
          <w:tcPr>
            <w:tcW w:type="dxa" w:w="5040"/>
          </w:tcPr>
          <w:p>
            <w:r>
              <w:rPr>
                <w:sz w:val="20"/>
              </w:rPr>
              <w:t>Payback Period</w:t>
            </w:r>
          </w:p>
        </w:tc>
        <w:tc>
          <w:tcPr>
            <w:tcW w:type="dxa" w:w="5040"/>
          </w:tcPr>
          <w:p>
            <w:r>
              <w:rPr>
                <w:sz w:val="20"/>
              </w:rPr>
              <w:t>8.3 – 3.2 months</w:t>
            </w:r>
          </w:p>
        </w:tc>
      </w:tr>
      <w:tr>
        <w:tc>
          <w:tcPr>
            <w:tcW w:type="dxa" w:w="5040"/>
          </w:tcPr>
          <w:p>
            <w:r>
              <w:rPr>
                <w:sz w:val="20"/>
              </w:rPr>
              <w:t>3-Year Net Benefit</w:t>
            </w:r>
          </w:p>
        </w:tc>
        <w:tc>
          <w:tcPr>
            <w:tcW w:type="dxa" w:w="5040"/>
          </w:tcPr>
          <w:p>
            <w:r>
              <w:rPr>
                <w:sz w:val="20"/>
              </w:rPr>
              <w:t>$578,490 – $1,746,978</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Olam International</w:t>
            </w:r>
          </w:p>
        </w:tc>
        <w:tc>
          <w:tcPr>
            <w:tcW w:type="dxa" w:w="2016"/>
          </w:tcPr>
          <w:p>
            <w:r>
              <w:rPr>
                <w:sz w:val="20"/>
              </w:rPr>
              <w:t>$2,241,300</w:t>
            </w:r>
          </w:p>
        </w:tc>
        <w:tc>
          <w:tcPr>
            <w:tcW w:type="dxa" w:w="2016"/>
          </w:tcPr>
          <w:p>
            <w:r>
              <w:rPr>
                <w:sz w:val="20"/>
              </w:rPr>
              <w:t>4.7/5.0</w:t>
            </w:r>
          </w:p>
        </w:tc>
        <w:tc>
          <w:tcPr>
            <w:tcW w:type="dxa" w:w="2016"/>
          </w:tcPr>
          <w:p>
            <w:r>
              <w:rPr>
                <w:sz w:val="20"/>
              </w:rPr>
              <w:t>91%</w:t>
            </w:r>
          </w:p>
        </w:tc>
        <w:tc>
          <w:tcPr>
            <w:tcW w:type="dxa" w:w="2016"/>
          </w:tcPr>
          <w:p>
            <w:r>
              <w:rPr>
                <w:sz w:val="20"/>
              </w:rPr>
              <w:t>8.0/10</w:t>
            </w:r>
          </w:p>
        </w:tc>
      </w:tr>
      <w:tr>
        <w:tc>
          <w:tcPr>
            <w:tcW w:type="dxa" w:w="2016"/>
          </w:tcPr>
          <w:p>
            <w:r>
              <w:rPr>
                <w:sz w:val="20"/>
              </w:rPr>
              <w:t>Farm Fresh Inc</w:t>
            </w:r>
          </w:p>
        </w:tc>
        <w:tc>
          <w:tcPr>
            <w:tcW w:type="dxa" w:w="2016"/>
          </w:tcPr>
          <w:p>
            <w:r>
              <w:rPr>
                <w:sz w:val="20"/>
              </w:rPr>
              <w:t>$708,300</w:t>
            </w:r>
          </w:p>
        </w:tc>
        <w:tc>
          <w:tcPr>
            <w:tcW w:type="dxa" w:w="2016"/>
          </w:tcPr>
          <w:p>
            <w:r>
              <w:rPr>
                <w:sz w:val="20"/>
              </w:rPr>
              <w:t>4.4/5.0</w:t>
            </w:r>
          </w:p>
        </w:tc>
        <w:tc>
          <w:tcPr>
            <w:tcW w:type="dxa" w:w="2016"/>
          </w:tcPr>
          <w:p>
            <w:r>
              <w:rPr>
                <w:sz w:val="20"/>
              </w:rPr>
              <w:t>88%</w:t>
            </w:r>
          </w:p>
        </w:tc>
        <w:tc>
          <w:tcPr>
            <w:tcW w:type="dxa" w:w="2016"/>
          </w:tcPr>
          <w:p>
            <w:r>
              <w:rPr>
                <w:sz w:val="20"/>
              </w:rPr>
              <w:t>8.3/10</w:t>
            </w:r>
          </w:p>
        </w:tc>
      </w:tr>
      <w:tr>
        <w:tc>
          <w:tcPr>
            <w:tcW w:type="dxa" w:w="2016"/>
          </w:tcPr>
          <w:p>
            <w:r>
              <w:rPr>
                <w:sz w:val="20"/>
              </w:rPr>
              <w:t>KRBL Ltd</w:t>
            </w:r>
          </w:p>
        </w:tc>
        <w:tc>
          <w:tcPr>
            <w:tcW w:type="dxa" w:w="2016"/>
          </w:tcPr>
          <w:p>
            <w:r>
              <w:rPr>
                <w:sz w:val="20"/>
              </w:rPr>
              <w:t>$756,000</w:t>
            </w:r>
          </w:p>
        </w:tc>
        <w:tc>
          <w:tcPr>
            <w:tcW w:type="dxa" w:w="2016"/>
          </w:tcPr>
          <w:p>
            <w:r>
              <w:rPr>
                <w:sz w:val="20"/>
              </w:rPr>
              <w:t>4.5/5.0</w:t>
            </w:r>
          </w:p>
        </w:tc>
        <w:tc>
          <w:tcPr>
            <w:tcW w:type="dxa" w:w="2016"/>
          </w:tcPr>
          <w:p>
            <w:r>
              <w:rPr>
                <w:sz w:val="20"/>
              </w:rPr>
              <w:t>84%</w:t>
            </w:r>
          </w:p>
        </w:tc>
        <w:tc>
          <w:tcPr>
            <w:tcW w:type="dxa" w:w="2016"/>
          </w:tcPr>
          <w:p>
            <w:r>
              <w:rPr>
                <w:sz w:val="20"/>
              </w:rPr>
              <w:t>8.0/10</w:t>
            </w:r>
          </w:p>
        </w:tc>
      </w:tr>
      <w:tr>
        <w:tc>
          <w:tcPr>
            <w:tcW w:type="dxa" w:w="2016"/>
          </w:tcPr>
          <w:p>
            <w:r>
              <w:rPr>
                <w:sz w:val="20"/>
              </w:rPr>
              <w:t>Australia Grain Masters Enterprises</w:t>
            </w:r>
          </w:p>
        </w:tc>
        <w:tc>
          <w:tcPr>
            <w:tcW w:type="dxa" w:w="2016"/>
          </w:tcPr>
          <w:p>
            <w:r>
              <w:rPr>
                <w:sz w:val="20"/>
              </w:rPr>
              <w:t>$558,400</w:t>
            </w:r>
          </w:p>
        </w:tc>
        <w:tc>
          <w:tcPr>
            <w:tcW w:type="dxa" w:w="2016"/>
          </w:tcPr>
          <w:p>
            <w:r>
              <w:rPr>
                <w:sz w:val="20"/>
              </w:rPr>
              <w:t>4.9/5.0</w:t>
            </w:r>
          </w:p>
        </w:tc>
        <w:tc>
          <w:tcPr>
            <w:tcW w:type="dxa" w:w="2016"/>
          </w:tcPr>
          <w:p>
            <w:r>
              <w:rPr>
                <w:sz w:val="20"/>
              </w:rPr>
              <w:t>81%</w:t>
            </w:r>
          </w:p>
        </w:tc>
        <w:tc>
          <w:tcPr>
            <w:tcW w:type="dxa" w:w="2016"/>
          </w:tcPr>
          <w:p>
            <w:r>
              <w:rPr>
                <w:sz w:val="20"/>
              </w:rPr>
              <w:t>6.8/10</w:t>
            </w:r>
          </w:p>
        </w:tc>
      </w:tr>
      <w:tr>
        <w:tc>
          <w:tcPr>
            <w:tcW w:type="dxa" w:w="2016"/>
          </w:tcPr>
          <w:p>
            <w:r>
              <w:rPr>
                <w:sz w:val="20"/>
              </w:rPr>
              <w:t>Vietnam Food Corp</w:t>
            </w:r>
          </w:p>
        </w:tc>
        <w:tc>
          <w:tcPr>
            <w:tcW w:type="dxa" w:w="2016"/>
          </w:tcPr>
          <w:p>
            <w:r>
              <w:rPr>
                <w:sz w:val="20"/>
              </w:rPr>
              <w:t>$702,000</w:t>
            </w:r>
          </w:p>
        </w:tc>
        <w:tc>
          <w:tcPr>
            <w:tcW w:type="dxa" w:w="2016"/>
          </w:tcPr>
          <w:p>
            <w:r>
              <w:rPr>
                <w:sz w:val="20"/>
              </w:rPr>
              <w:t>4.4/5.0</w:t>
            </w:r>
          </w:p>
        </w:tc>
        <w:tc>
          <w:tcPr>
            <w:tcW w:type="dxa" w:w="2016"/>
          </w:tcPr>
          <w:p>
            <w:r>
              <w:rPr>
                <w:sz w:val="20"/>
              </w:rPr>
              <w:t>86%</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9</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74%</w:t>
            </w:r>
          </w:p>
        </w:tc>
      </w:tr>
    </w:tbl>
    <w:p/>
    <w:p>
      <w:r>
        <w:rPr>
          <w:b/>
        </w:rPr>
        <w:t>Violations Detected:</w:t>
      </w:r>
    </w:p>
    <w:p>
      <w:pPr>
        <w:pStyle w:val="ListBullet"/>
      </w:pPr>
      <w:r>
        <w:t>R001: Regional Concentration</w:t>
      </w:r>
    </w:p>
    <w:p>
      <w:pPr>
        <w:pStyle w:val="ListBullet"/>
      </w:pPr>
      <w:r>
        <w:t>R012: Minimum Order Quantity</w:t>
      </w:r>
    </w:p>
    <w:p>
      <w:pPr>
        <w:pStyle w:val="ListBullet"/>
      </w:pPr>
      <w:r>
        <w:t>R015: Diverse Supplier Spend</w:t>
      </w:r>
    </w:p>
    <w:p>
      <w:pPr>
        <w:pStyle w:val="ListBullet"/>
      </w:pPr>
      <w:r>
        <w:t>R016: Innovation Supplier Ratio</w:t>
      </w:r>
    </w:p>
    <w:p>
      <w:pPr>
        <w:pStyle w:val="ListBullet"/>
      </w:pPr>
      <w:r>
        <w:t>R020: Supplier Responsiveness</w:t>
      </w:r>
    </w:p>
    <w:p/>
    <w:p>
      <w:pPr>
        <w:pStyle w:val="Heading2"/>
      </w:pPr>
      <w:r>
        <w:rPr>
          <w:color w:val="003366"/>
        </w:rPr>
        <w:t>STRATEGIC OUTCOME</w:t>
      </w:r>
    </w:p>
    <w:p>
      <w:pPr>
        <w:pStyle w:val="ListBullet"/>
      </w:pPr>
      <w:r>
        <w:t>Reduce single-supplier concentration from 26% to 40% in Phase 1</w:t>
      </w:r>
    </w:p>
    <w:p>
      <w:pPr>
        <w:pStyle w:val="ListBullet"/>
      </w:pPr>
      <w:r>
        <w:t>Activate diversified spend via new qualified suppliers</w:t>
      </w:r>
    </w:p>
    <w:p>
      <w:pPr>
        <w:pStyle w:val="ListBullet"/>
      </w:pPr>
      <w:r>
        <w:t>Improve pricing leverage through supplier competition</w:t>
      </w:r>
    </w:p>
    <w:p>
      <w:pPr>
        <w:pStyle w:val="ListBullet"/>
      </w:pPr>
      <w:r>
        <w:t>Reduce southeast asia supply corridor risk by ~26%</w:t>
      </w:r>
    </w:p>
    <w:p>
      <w:pPr>
        <w:pStyle w:val="ListBullet"/>
      </w:pPr>
      <w:r>
        <w:t>Achieve estimated annual cost advantage of USD 311,598-701,094 while improving supply continuity</w:t>
      </w:r>
    </w:p>
    <w:p/>
    <w:p>
      <w:pPr>
        <w:pStyle w:val="Heading2"/>
      </w:pPr>
      <w:r>
        <w:rPr>
          <w:color w:val="003366"/>
        </w:rPr>
        <w:t>WHY THIS MATTERS</w:t>
      </w:r>
    </w:p>
    <w:p>
      <w:r>
        <w:t>## Market Intelligence Brief: Rice Category</w:t>
        <w:br/>
        <w:br/>
        <w:t>The rice category is currently influenced by several key market trends, including the prioritization of supply chain resilience and the impact of geopolitical tensions on regional sourcing decisions. As supply chain resilience becomes a board-level priority, companies are increasingly focusing on diversifying their supplier base to mitigate risks associated with single-source dependency and geographic concentration [SOURCE-2]. This is particularly relevant given the geopolitical tensions that can affect sourcing decisions, making it essential for procurement teams to consider stable regions such as the Americas and Europe for diversification [SOURCE-2].</w:t>
        <w:br/>
        <w:br/>
        <w:t>In terms of regional supply chain considerations, the APAC region, including countries like Vietnam and India, is known for its manufacturing scale and cost efficiency, making it a strategic choice for sourcing rice [SOURCE-1]. However, the high concentration of suppliers in a single region poses a significant risk, as highlighted by the critical need for diversification when more than 70% of sourcing is concentrated in one area [SOURCE-2]. Additionally, sustainability requirements are increasingly impacting supplier selection, necessitating a focus on suppliers that meet regulatory compliance and sustainability standards [SOURCE-2].</w:t>
        <w:br/>
        <w:br/>
        <w:t>For procurement decisions, it is crucial to consider the total cost of ownership, which includes logistics, quality, and lead times [SOURCE-1]. Nearshoring options, such as sourcing from regions like the Americas, can provide faster response times and lower logistics costs, thereby enhancing supply chain resilience [SOURCE-1]. By leveraging insights from the global supplier database, which covers 893 qualified suppliers across five geographic regions, procurement teams can strategically diversify their supplier base to ensure a balanced approach between cost efficiency and risk management [SOURCE-5].</w:t>
        <w:br/>
        <w:br/>
        <w:t>---</w:t>
        <w:br/>
        <w:t>Sources: regional_strategy.txt, risk_assessment.txt, spend_data.csv:Grains &amp; Cereals</w:t>
      </w:r>
    </w:p>
    <w:p/>
    <w:p>
      <w:pPr>
        <w:pStyle w:val="Heading2"/>
      </w:pPr>
      <w:r>
        <w:rPr>
          <w:color w:val="003366"/>
        </w:rPr>
        <w:t>BUSINESS JUSTIFICATION</w:t>
      </w:r>
    </w:p>
    <w:p>
      <w:r>
        <w:t>BUSINESS CASE JUSTIFICATION:</w:t>
        <w:br/>
        <w:br/>
        <w:t>1. FINANCIAL RETURN: The proposed diversification is projected to deliver $311,598 to $701,094 in annual cost savings, representing a 45%-270% ROI on the estimated $173,110 implementation investment.</w:t>
        <w:br/>
        <w:br/>
        <w:t>2. RISK MITIGATION: Current risk level is rated LOW. Reducing concentration by -14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w:t>
        <w:br/>
        <w:br/>
        <w:t>SUPPLIER RISK (MODERATE): At 26% concentration, there is opportunity to further balance the supplier portfolio.</w:t>
        <w:br/>
        <w:br/>
      </w:r>
    </w:p>
    <w:p/>
    <w:p>
      <w:pPr>
        <w:pStyle w:val="Heading2"/>
      </w:pPr>
      <w:r>
        <w:rPr>
          <w:color w:val="003366"/>
        </w:rPr>
        <w:t>RECOMMENDATION RATIONALE</w:t>
      </w:r>
    </w:p>
    <w:p>
      <w:r>
        <w:t>## STRATEGIC RECOMMENDATIONS</w:t>
        <w:br/>
        <w:br/>
        <w:t>To effectively mitigate supply chain risks and enhance procurement efficiency, the proposed diversification strategy focuses on reducing the dominant supplier's share from 25.9% to a target of 40% by incorporating new suppliers from China, Mexico, and Eastern Europe. This approach aligns with industry best practices that emphasize geographic diversification to reduce exposure to regional disruptions and enhance supply chain resilience [SOURCE-1]. By expanding into these regions, the strategy leverages their competitive advantages in manufacturing scale, cost efficiency, and emerging market potential, which are critical for maintaining a balanced and robust supply chain [SOURCE-3].</w:t>
        <w:br/>
        <w:br/>
        <w:t>China and Mexico are recognized for their strong manufacturing capabilities and cost efficiency, making them ideal candidates for sourcing diversification [SOURCE-3]. Eastern Europe offers a strategic advantage with its focus on quality and regulatory compliance, providing a stable and reliable supply base [SOURCE-3]. The inclusion of these regions not only aligns with the industry's best practices for dual sourcing and geographic diversification [SOURCE-1] but also taps into the potential cost savings of 8-18% as projected in the industry context [SOURCE-2]. This strategic move is expected to yield a favorable return on investment, with a typical payback period of 6-18 months for diversification initiatives [SOURCE-2].</w:t>
        <w:br/>
        <w:br/>
        <w:t>However, expanding into new regions and suppliers may present challenges such as logistical complexities and quality assurance issues. To mitigate these risks, it is crucial to conduct thorough due diligence and establish robust supplier qualification processes. This includes assessing supplier financial health, compliance with regulatory requirements, and geopolitical stability [SOURCE-4]. Additionally, leveraging the extensive global supplier database, which covers 893 qualified suppliers across key regions, can facilitate the identification of reliable partners [SOURCE-5]. By implementing these measures, the organization can effectively manage potential risks and capitalize on the strategic benefits of a diversified supply chain.</w:t>
        <w:br/>
        <w:br/>
        <w:t>---</w:t>
        <w:br/>
        <w:t>Sources: supplier_risk.txt, roi_calculations.txt, regional_strategy.txt</w:t>
      </w:r>
    </w:p>
    <w:p/>
    <w:p>
      <w:pPr>
        <w:pStyle w:val="Heading2"/>
      </w:pPr>
      <w:r>
        <w:rPr>
          <w:color w:val="003366"/>
        </w:rPr>
        <w:t>🤖 AI-GENERATED EXECUTIVE SUMMARY</w:t>
      </w:r>
    </w:p>
    <w:p>
      <w:pPr>
        <w:spacing w:after="240"/>
      </w:pPr>
      <w:r>
        <w:t>This analysis identifies a critical supplier concentration issue in our procurement portfolio, with Olam International representing 26% of the $8,655,500 annual spend. The current risk level is rated LOW, requiring immediate attention to ensure supply chain continuity.</w:t>
        <w:br/>
        <w:br/>
        <w:t>The recommended diversification strategy targets a reduction in concentration to 55% through phased activation of alternate suppliers and regional diversification. This initiative is projected to deliver $311,598 to $701,094 in annual cost savings with a 45%-270% ROI.</w:t>
        <w:br/>
        <w:br/>
        <w:t>Implementation follows a 26-week phased approach beginning with supplier qualification, followed by pilot contracts and performance validation before full scale-up.</w:t>
      </w:r>
    </w:p>
    <w:p/>
    <w:p>
      <w:pPr>
        <w:pStyle w:val="Heading2"/>
      </w:pPr>
      <w:r>
        <w:rPr>
          <w:color w:val="003366"/>
        </w:rPr>
        <w:t>🤖 AI-POWERED RISK ANALYSIS</w:t>
      </w:r>
    </w:p>
    <w:p>
      <w:pPr>
        <w:spacing w:after="240"/>
      </w:pPr>
      <w:r>
        <w:t>## Risk Analysis Narrative</w:t>
        <w:br/>
        <w:br/>
        <w:t>Based on the provided data, the most critical risk identified is the high supplier concentration with Olam International, which accounts for 25.9% of the total supplier spend. This level of dependency poses a significant supply chain risk, as it exceeds the best practice threshold of 20% for a single supplier, as advised in [SOURCE-2]. Such concentration can lead to potential disruptions if the supplier faces operational challenges, impacting the continuity of supply and potentially leading to increased costs or delays in procurement.</w:t>
        <w:br/>
        <w:br/>
        <w:t>The business impact of this risk is substantial. A disruption with Olam International could result in supply shortages, increased lead times, and potential production halts, affecting the company's ability to meet customer demands. This scenario underscores the importance of diversifying the supplier base to mitigate risks associated with single-source dependency. According to [SOURCE-3], a critical action recommendation is to qualify 2-3 alternative suppliers to reduce dependency risk, ensuring a more resilient supply chain.</w:t>
        <w:br/>
        <w:br/>
        <w:t>While the overall risk level is currently assessed as low, with a risk score of 1.0/4.0, the immediate focus should be on addressing the supplier concentration risk. Implementing dual sourcing strategies and expanding the supplier network to include at least 3-5 qualified suppliers for critical categories, as suggested in [SOURCE-2], will enhance supply chain resilience and reduce the potential impact of supplier-specific disruptions. Prioritizing this risk management strategy aligns with best practices and ensures the company maintains operational stability and competitive advantage.</w:t>
        <w:br/>
        <w:br/>
        <w:t>---</w:t>
        <w:br/>
        <w:t>Sources: risk_assessment.txt, supplier_risk.txt, procurement_rulebook.csv</w:t>
      </w:r>
    </w:p>
    <w:p/>
    <w:p>
      <w:pPr>
        <w:pStyle w:val="Heading2"/>
      </w:pPr>
      <w:r>
        <w:rPr>
          <w:color w:val="003366"/>
        </w:rPr>
        <w:t>🤖 AI-GENERATED STRATEGIC RECOMMENDATIONS</w:t>
      </w:r>
    </w:p>
    <w:p>
      <w:pPr>
        <w:spacing w:after="240"/>
      </w:pPr>
      <w:r>
        <w:t>## STRATEGIC RECOMMENDATIONS</w:t>
        <w:br/>
        <w:br/>
        <w:t>To effectively mitigate supply chain risks and enhance procurement efficiency, the proposed diversification strategy focuses on reducing the dominant supplier's share from 25.9% to a target of 40% by incorporating new suppliers from China, Mexico, and Eastern Europe. This approach aligns with industry best practices that emphasize geographic diversification to reduce exposure to regional disruptions and enhance supply chain resilience [SOURCE-1]. By expanding into these regions, the strategy leverages their competitive advantages in manufacturing scale, cost efficiency, and emerging market potential, which are critical for maintaining a balanced and robust supply chain [SOURCE-3].</w:t>
        <w:br/>
        <w:br/>
        <w:t>China and Mexico are recognized for their strong manufacturing capabilities and cost efficiency, making them ideal candidates for sourcing diversification [SOURCE-3]. Eastern Europe offers a strategic advantage with its focus on quality and regulatory compliance, providing a stable and reliable supply base [SOURCE-3]. The inclusion of these regions not only aligns with the industry's best practices for dual sourcing and geographic diversification [SOURCE-1] but also taps into the potential cost savings of 8-18% as projected in the industry context [SOURCE-2]. This strategic move is expected to yield a favorable return on investment, with a typical payback period of 6-18 months for diversification initiatives [SOURCE-2].</w:t>
        <w:br/>
        <w:br/>
        <w:t>However, expanding into new regions and suppliers may present challenges such as logistical complexities and quality assurance issues. To mitigate these risks, it is crucial to conduct thorough due diligence and establish robust supplier qualification processes. This includes assessing supplier financial health, compliance with regulatory requirements, and geopolitical stability [SOURCE-4]. Additionally, leveraging the extensive global supplier database, which covers 893 qualified suppliers across key regions, can facilitate the identification of reliable partners [SOURCE-5]. By implementing these measures, the organization can effectively manage potential risks and capitalize on the strategic benefits of a diversified supply chain.</w:t>
        <w:br/>
        <w:br/>
        <w:t>---</w:t>
        <w:br/>
        <w:t>Sources: supplier_risk.txt, roi_calculations.txt, regional_strategy.txt</w:t>
      </w:r>
    </w:p>
    <w:p/>
    <w:p>
      <w:pPr>
        <w:pStyle w:val="Heading2"/>
      </w:pPr>
      <w:r>
        <w:rPr>
          <w:color w:val="003366"/>
        </w:rPr>
        <w:t>🤖 AI MARKET INTELLIGENCE</w:t>
      </w:r>
    </w:p>
    <w:p>
      <w:pPr>
        <w:spacing w:after="240"/>
      </w:pPr>
      <w:r>
        <w:t>## Market Intelligence Brief: Rice Category</w:t>
        <w:br/>
        <w:br/>
        <w:t>The rice category is currently influenced by several key market trends, including the prioritization of supply chain resilience and the impact of geopolitical tensions on regional sourcing decisions. As supply chain resilience becomes a board-level priority, companies are increasingly focusing on diversifying their supplier base to mitigate risks associated with single-source dependency and geographic concentration [SOURCE-2]. This is particularly relevant given the geopolitical tensions that can affect sourcing decisions, making it essential for procurement teams to consider stable regions such as the Americas and Europe for diversification [SOURCE-2].</w:t>
        <w:br/>
        <w:br/>
        <w:t>In terms of regional supply chain considerations, the APAC region, including countries like Vietnam and India, is known for its manufacturing scale and cost efficiency, making it a strategic choice for sourcing rice [SOURCE-1]. However, the high concentration of suppliers in a single region poses a significant risk, as highlighted by the critical need for diversification when more than 70% of sourcing is concentrated in one area [SOURCE-2]. Additionally, sustainability requirements are increasingly impacting supplier selection, necessitating a focus on suppliers that meet regulatory compliance and sustainability standards [SOURCE-2].</w:t>
        <w:br/>
        <w:br/>
        <w:t>For procurement decisions, it is crucial to consider the total cost of ownership, which includes logistics, quality, and lead times [SOURCE-1]. Nearshoring options, such as sourcing from regions like the Americas, can provide faster response times and lower logistics costs, thereby enhancing supply chain resilience [SOURCE-1]. By leveraging insights from the global supplier database, which covers 893 qualified suppliers across five geographic regions, procurement teams can strategically diversify their supplier base to ensure a balanced approach between cost efficiency and risk management [SOURCE-5].</w:t>
        <w:br/>
        <w:br/>
        <w:t>---</w:t>
        <w:br/>
        <w:t>Sources: regional_strategy.txt, risk_assessment.txt, spend_data.csv:Grains &amp; Cereals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China, Mexico, Eastern Europe</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