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RICE DIVERSIFICATION</w:t>
      </w:r>
    </w:p>
    <w:p>
      <w:pPr>
        <w:jc w:val="center"/>
      </w:pPr>
      <w:r>
        <w:rPr>
          <w:i/>
          <w:sz w:val="22"/>
        </w:rPr>
        <w:t>Regional Concentration Analysis &amp; Diversification Strategy</w:t>
      </w:r>
    </w:p>
    <w:p>
      <w:pPr>
        <w:jc w:val="center"/>
      </w:pPr>
      <w:r>
        <w:rPr>
          <w:b/>
          <w:sz w:val="24"/>
        </w:rPr>
        <w:t>Total Category Spend 2026: USD 8,655,500</w:t>
      </w:r>
    </w:p>
    <w:p/>
    <w:p>
      <w:pPr>
        <w:pStyle w:val="Heading2"/>
      </w:pPr>
      <w:r>
        <w:rPr>
          <w:color w:val="003366"/>
        </w:rPr>
        <w:t>ORIGINAL SPEND CONCENTRATION (2026)</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Country</w:t>
            </w:r>
          </w:p>
        </w:tc>
        <w:tc>
          <w:tcPr>
            <w:tcW w:type="dxa" w:w="3360"/>
          </w:tcPr>
          <w:p>
            <w:r>
              <w:rPr>
                <w:b/>
                <w:sz w:val="20"/>
              </w:rPr>
              <w:t>% of Total Spend</w:t>
            </w:r>
          </w:p>
        </w:tc>
        <w:tc>
          <w:tcPr>
            <w:tcW w:type="dxa" w:w="3360"/>
          </w:tcPr>
          <w:p>
            <w:r>
              <w:rPr>
                <w:b/>
                <w:sz w:val="20"/>
              </w:rPr>
              <w:t>Cost (USD)</w:t>
            </w:r>
          </w:p>
        </w:tc>
      </w:tr>
      <w:tr>
        <w:tc>
          <w:tcPr>
            <w:tcW w:type="dxa" w:w="3360"/>
          </w:tcPr>
          <w:p>
            <w:r>
              <w:rPr>
                <w:sz w:val="20"/>
              </w:rPr>
              <w:t>Singapore</w:t>
            </w:r>
          </w:p>
        </w:tc>
        <w:tc>
          <w:tcPr>
            <w:tcW w:type="dxa" w:w="3360"/>
          </w:tcPr>
          <w:p>
            <w:r>
              <w:rPr>
                <w:sz w:val="20"/>
              </w:rPr>
              <w:t>26%</w:t>
            </w:r>
          </w:p>
        </w:tc>
        <w:tc>
          <w:tcPr>
            <w:tcW w:type="dxa" w:w="3360"/>
          </w:tcPr>
          <w:p>
            <w:r>
              <w:rPr>
                <w:sz w:val="20"/>
              </w:rPr>
              <w:t>$2,241,300</w:t>
            </w:r>
          </w:p>
        </w:tc>
      </w:tr>
      <w:tr>
        <w:tc>
          <w:tcPr>
            <w:tcW w:type="dxa" w:w="3360"/>
          </w:tcPr>
          <w:p>
            <w:r>
              <w:rPr>
                <w:sz w:val="20"/>
              </w:rPr>
              <w:t>Argentina</w:t>
            </w:r>
          </w:p>
        </w:tc>
        <w:tc>
          <w:tcPr>
            <w:tcW w:type="dxa" w:w="3360"/>
          </w:tcPr>
          <w:p>
            <w:r>
              <w:rPr>
                <w:sz w:val="20"/>
              </w:rPr>
              <w:t>19%</w:t>
            </w:r>
          </w:p>
        </w:tc>
        <w:tc>
          <w:tcPr>
            <w:tcW w:type="dxa" w:w="3360"/>
          </w:tcPr>
          <w:p>
            <w:r>
              <w:rPr>
                <w:sz w:val="20"/>
              </w:rPr>
              <w:t>$1,636,300</w:t>
            </w:r>
          </w:p>
        </w:tc>
      </w:tr>
      <w:tr>
        <w:tc>
          <w:tcPr>
            <w:tcW w:type="dxa" w:w="3360"/>
          </w:tcPr>
          <w:p>
            <w:r>
              <w:rPr>
                <w:sz w:val="20"/>
              </w:rPr>
              <w:t>Colombia</w:t>
            </w:r>
          </w:p>
        </w:tc>
        <w:tc>
          <w:tcPr>
            <w:tcW w:type="dxa" w:w="3360"/>
          </w:tcPr>
          <w:p>
            <w:r>
              <w:rPr>
                <w:sz w:val="20"/>
              </w:rPr>
              <w:t>12%</w:t>
            </w:r>
          </w:p>
        </w:tc>
        <w:tc>
          <w:tcPr>
            <w:tcW w:type="dxa" w:w="3360"/>
          </w:tcPr>
          <w:p>
            <w:r>
              <w:rPr>
                <w:sz w:val="20"/>
              </w:rPr>
              <w:t>$1,055,300</w:t>
            </w:r>
          </w:p>
        </w:tc>
      </w:tr>
      <w:tr>
        <w:tc>
          <w:tcPr>
            <w:tcW w:type="dxa" w:w="3360"/>
          </w:tcPr>
          <w:p>
            <w:r>
              <w:rPr>
                <w:sz w:val="20"/>
              </w:rPr>
              <w:t>Belgium</w:t>
            </w:r>
          </w:p>
        </w:tc>
        <w:tc>
          <w:tcPr>
            <w:tcW w:type="dxa" w:w="3360"/>
          </w:tcPr>
          <w:p>
            <w:r>
              <w:rPr>
                <w:sz w:val="20"/>
              </w:rPr>
              <w:t>12%</w:t>
            </w:r>
          </w:p>
        </w:tc>
        <w:tc>
          <w:tcPr>
            <w:tcW w:type="dxa" w:w="3360"/>
          </w:tcPr>
          <w:p>
            <w:r>
              <w:rPr>
                <w:sz w:val="20"/>
              </w:rPr>
              <w:t>$997,900</w:t>
            </w:r>
          </w:p>
        </w:tc>
      </w:tr>
      <w:tr>
        <w:tc>
          <w:tcPr>
            <w:tcW w:type="dxa" w:w="3360"/>
          </w:tcPr>
          <w:p>
            <w:r>
              <w:rPr>
                <w:sz w:val="20"/>
              </w:rPr>
              <w:t>India</w:t>
            </w:r>
          </w:p>
        </w:tc>
        <w:tc>
          <w:tcPr>
            <w:tcW w:type="dxa" w:w="3360"/>
          </w:tcPr>
          <w:p>
            <w:r>
              <w:rPr>
                <w:sz w:val="20"/>
              </w:rPr>
              <w:t>9%</w:t>
            </w:r>
          </w:p>
        </w:tc>
        <w:tc>
          <w:tcPr>
            <w:tcW w:type="dxa" w:w="3360"/>
          </w:tcPr>
          <w:p>
            <w:r>
              <w:rPr>
                <w:sz w:val="20"/>
              </w:rPr>
              <w:t>$756,000</w:t>
            </w:r>
          </w:p>
        </w:tc>
      </w:tr>
    </w:tbl>
    <w:p>
      <w:pPr>
        <w:spacing w:before="120"/>
      </w:pPr>
      <w:r>
        <w:t>Regional distribution is within acceptable limits, but diversification opportunities exist.</w:t>
      </w:r>
    </w:p>
    <w:p/>
    <w:p>
      <w:pPr>
        <w:pStyle w:val="Heading2"/>
      </w:pPr>
      <w:r>
        <w:rPr>
          <w:color w:val="003366"/>
        </w:rPr>
        <w:t>DIVERSIFIED TARGET STATE (NEW SPLIT)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Country / Region</w:t>
            </w:r>
          </w:p>
        </w:tc>
        <w:tc>
          <w:tcPr>
            <w:tcW w:type="dxa" w:w="2520"/>
          </w:tcPr>
          <w:p>
            <w:r>
              <w:rPr>
                <w:b/>
                <w:sz w:val="20"/>
              </w:rPr>
              <w:t>New % Allocation</w:t>
            </w:r>
          </w:p>
        </w:tc>
        <w:tc>
          <w:tcPr>
            <w:tcW w:type="dxa" w:w="2520"/>
          </w:tcPr>
          <w:p>
            <w:r>
              <w:rPr>
                <w:b/>
                <w:sz w:val="20"/>
              </w:rPr>
              <w:t>New Cost (USD)</w:t>
            </w:r>
          </w:p>
        </w:tc>
        <w:tc>
          <w:tcPr>
            <w:tcW w:type="dxa" w:w="2520"/>
          </w:tcPr>
          <w:p>
            <w:r>
              <w:rPr>
                <w:b/>
                <w:sz w:val="20"/>
              </w:rPr>
              <w:t>Change vs Original</w:t>
            </w:r>
          </w:p>
        </w:tc>
      </w:tr>
      <w:tr>
        <w:tc>
          <w:tcPr>
            <w:tcW w:type="dxa" w:w="2520"/>
          </w:tcPr>
          <w:p>
            <w:r>
              <w:rPr>
                <w:sz w:val="20"/>
              </w:rPr>
              <w:t>Singapore</w:t>
            </w:r>
          </w:p>
        </w:tc>
        <w:tc>
          <w:tcPr>
            <w:tcW w:type="dxa" w:w="2520"/>
          </w:tcPr>
          <w:p>
            <w:r>
              <w:rPr>
                <w:sz w:val="20"/>
              </w:rPr>
              <w:t>24%</w:t>
            </w:r>
          </w:p>
        </w:tc>
        <w:tc>
          <w:tcPr>
            <w:tcW w:type="dxa" w:w="2520"/>
          </w:tcPr>
          <w:p>
            <w:r>
              <w:rPr>
                <w:sz w:val="20"/>
              </w:rPr>
              <w:t>$2,077,320</w:t>
            </w:r>
          </w:p>
        </w:tc>
        <w:tc>
          <w:tcPr>
            <w:tcW w:type="dxa" w:w="2520"/>
          </w:tcPr>
          <w:p>
            <w:r>
              <w:rPr>
                <w:sz w:val="20"/>
              </w:rPr>
              <w:t>2% lower</w:t>
            </w:r>
          </w:p>
        </w:tc>
      </w:tr>
      <w:tr>
        <w:tc>
          <w:tcPr>
            <w:tcW w:type="dxa" w:w="2520"/>
          </w:tcPr>
          <w:p>
            <w:r>
              <w:rPr>
                <w:sz w:val="20"/>
              </w:rPr>
              <w:t>Argentina</w:t>
            </w:r>
          </w:p>
        </w:tc>
        <w:tc>
          <w:tcPr>
            <w:tcW w:type="dxa" w:w="2520"/>
          </w:tcPr>
          <w:p>
            <w:r>
              <w:rPr>
                <w:sz w:val="20"/>
              </w:rPr>
              <w:t>17%</w:t>
            </w:r>
          </w:p>
        </w:tc>
        <w:tc>
          <w:tcPr>
            <w:tcW w:type="dxa" w:w="2520"/>
          </w:tcPr>
          <w:p>
            <w:r>
              <w:rPr>
                <w:sz w:val="20"/>
              </w:rPr>
              <w:t>$1,471,435</w:t>
            </w:r>
          </w:p>
        </w:tc>
        <w:tc>
          <w:tcPr>
            <w:tcW w:type="dxa" w:w="2520"/>
          </w:tcPr>
          <w:p>
            <w:r>
              <w:rPr>
                <w:sz w:val="20"/>
              </w:rPr>
              <w:t>2% lower</w:t>
            </w:r>
          </w:p>
        </w:tc>
      </w:tr>
      <w:tr>
        <w:tc>
          <w:tcPr>
            <w:tcW w:type="dxa" w:w="2520"/>
          </w:tcPr>
          <w:p>
            <w:r>
              <w:rPr>
                <w:sz w:val="20"/>
              </w:rPr>
              <w:t>Colombia</w:t>
            </w:r>
          </w:p>
        </w:tc>
        <w:tc>
          <w:tcPr>
            <w:tcW w:type="dxa" w:w="2520"/>
          </w:tcPr>
          <w:p>
            <w:r>
              <w:rPr>
                <w:sz w:val="20"/>
              </w:rPr>
              <w:t>11%</w:t>
            </w:r>
          </w:p>
        </w:tc>
        <w:tc>
          <w:tcPr>
            <w:tcW w:type="dxa" w:w="2520"/>
          </w:tcPr>
          <w:p>
            <w:r>
              <w:rPr>
                <w:sz w:val="20"/>
              </w:rPr>
              <w:t>$952,105</w:t>
            </w:r>
          </w:p>
        </w:tc>
        <w:tc>
          <w:tcPr>
            <w:tcW w:type="dxa" w:w="2520"/>
          </w:tcPr>
          <w:p>
            <w:r>
              <w:rPr>
                <w:sz w:val="20"/>
              </w:rPr>
              <w:t>1% lower</w:t>
            </w:r>
          </w:p>
        </w:tc>
      </w:tr>
      <w:tr>
        <w:tc>
          <w:tcPr>
            <w:tcW w:type="dxa" w:w="2520"/>
          </w:tcPr>
          <w:p>
            <w:r>
              <w:rPr>
                <w:sz w:val="20"/>
              </w:rPr>
              <w:t>India</w:t>
            </w:r>
          </w:p>
        </w:tc>
        <w:tc>
          <w:tcPr>
            <w:tcW w:type="dxa" w:w="2520"/>
          </w:tcPr>
          <w:p>
            <w:r>
              <w:rPr>
                <w:sz w:val="20"/>
              </w:rPr>
              <w:t>16%</w:t>
            </w:r>
          </w:p>
        </w:tc>
        <w:tc>
          <w:tcPr>
            <w:tcW w:type="dxa" w:w="2520"/>
          </w:tcPr>
          <w:p>
            <w:r>
              <w:rPr>
                <w:sz w:val="20"/>
              </w:rPr>
              <w:t>$1,384,880</w:t>
            </w:r>
          </w:p>
        </w:tc>
        <w:tc>
          <w:tcPr>
            <w:tcW w:type="dxa" w:w="2520"/>
          </w:tcPr>
          <w:p>
            <w:r>
              <w:rPr>
                <w:sz w:val="20"/>
              </w:rPr>
              <w:t>7% higher</w:t>
            </w:r>
          </w:p>
        </w:tc>
      </w:tr>
      <w:tr>
        <w:tc>
          <w:tcPr>
            <w:tcW w:type="dxa" w:w="2520"/>
          </w:tcPr>
          <w:p>
            <w:r>
              <w:rPr>
                <w:sz w:val="20"/>
              </w:rPr>
              <w:t>China</w:t>
            </w:r>
          </w:p>
        </w:tc>
        <w:tc>
          <w:tcPr>
            <w:tcW w:type="dxa" w:w="2520"/>
          </w:tcPr>
          <w:p>
            <w:r>
              <w:rPr>
                <w:sz w:val="20"/>
              </w:rPr>
              <w:t>16%</w:t>
            </w:r>
          </w:p>
        </w:tc>
        <w:tc>
          <w:tcPr>
            <w:tcW w:type="dxa" w:w="2520"/>
          </w:tcPr>
          <w:p>
            <w:r>
              <w:rPr>
                <w:sz w:val="20"/>
              </w:rPr>
              <w:t>$1,384,880</w:t>
            </w:r>
          </w:p>
        </w:tc>
        <w:tc>
          <w:tcPr>
            <w:tcW w:type="dxa" w:w="2520"/>
          </w:tcPr>
          <w:p>
            <w:r>
              <w:rPr>
                <w:sz w:val="20"/>
              </w:rPr>
              <w:t>New addition</w:t>
            </w:r>
          </w:p>
        </w:tc>
      </w:tr>
      <w:tr>
        <w:tc>
          <w:tcPr>
            <w:tcW w:type="dxa" w:w="2520"/>
          </w:tcPr>
          <w:p>
            <w:r>
              <w:rPr>
                <w:sz w:val="20"/>
              </w:rPr>
              <w:t>Mexico</w:t>
            </w:r>
          </w:p>
        </w:tc>
        <w:tc>
          <w:tcPr>
            <w:tcW w:type="dxa" w:w="2520"/>
          </w:tcPr>
          <w:p>
            <w:r>
              <w:rPr>
                <w:sz w:val="20"/>
              </w:rPr>
              <w:t>16%</w:t>
            </w:r>
          </w:p>
        </w:tc>
        <w:tc>
          <w:tcPr>
            <w:tcW w:type="dxa" w:w="2520"/>
          </w:tcPr>
          <w:p>
            <w:r>
              <w:rPr>
                <w:sz w:val="20"/>
              </w:rPr>
              <w:t>$1,384,880</w:t>
            </w:r>
          </w:p>
        </w:tc>
        <w:tc>
          <w:tcPr>
            <w:tcW w:type="dxa" w:w="2520"/>
          </w:tcPr>
          <w:p>
            <w:r>
              <w:rPr>
                <w:sz w:val="20"/>
              </w:rPr>
              <w:t>New addition</w:t>
            </w:r>
          </w:p>
        </w:tc>
      </w:tr>
      <w:tr>
        <w:tc>
          <w:tcPr>
            <w:tcW w:type="dxa" w:w="2520"/>
          </w:tcPr>
          <w:p>
            <w:r>
              <w:rPr>
                <w:sz w:val="20"/>
              </w:rPr>
              <w:t>Total</w:t>
            </w:r>
          </w:p>
        </w:tc>
        <w:tc>
          <w:tcPr>
            <w:tcW w:type="dxa" w:w="2520"/>
          </w:tcPr>
          <w:p>
            <w:r>
              <w:rPr>
                <w:sz w:val="20"/>
              </w:rPr>
              <w:t>100%</w:t>
            </w:r>
          </w:p>
        </w:tc>
        <w:tc>
          <w:tcPr>
            <w:tcW w:type="dxa" w:w="2520"/>
          </w:tcPr>
          <w:p>
            <w:r>
              <w:rPr>
                <w:sz w:val="20"/>
              </w:rPr>
              <w:t>$8,655,500</w:t>
            </w:r>
          </w:p>
        </w:tc>
        <w:tc>
          <w:tcPr>
            <w:tcW w:type="dxa" w:w="2520"/>
          </w:tcPr>
          <w:p>
            <w:r>
              <w:rPr>
                <w:sz w:val="20"/>
              </w:rPr>
              <w:t>Balanced cost + risk mix</w:t>
            </w:r>
          </w:p>
        </w:tc>
      </w:tr>
    </w:tbl>
    <w:p/>
    <w:p>
      <w:pPr>
        <w:pStyle w:val="Heading2"/>
      </w:pPr>
      <w:r>
        <w:rPr>
          <w:color w:val="003366"/>
        </w:rPr>
        <w:t>REDUCTION IN SPEND SHARE</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Country</w:t>
            </w:r>
          </w:p>
        </w:tc>
        <w:tc>
          <w:tcPr>
            <w:tcW w:type="dxa" w:w="5040"/>
          </w:tcPr>
          <w:p>
            <w:r>
              <w:rPr>
                <w:b/>
                <w:sz w:val="20"/>
              </w:rPr>
              <w:t>Reduction in Spend Share</w:t>
            </w:r>
          </w:p>
        </w:tc>
      </w:tr>
      <w:tr>
        <w:tc>
          <w:tcPr>
            <w:tcW w:type="dxa" w:w="5040"/>
          </w:tcPr>
          <w:p>
            <w:r>
              <w:rPr>
                <w:sz w:val="20"/>
              </w:rPr>
              <w:t>Singapore</w:t>
            </w:r>
          </w:p>
        </w:tc>
        <w:tc>
          <w:tcPr>
            <w:tcW w:type="dxa" w:w="5040"/>
          </w:tcPr>
          <w:p>
            <w:r>
              <w:rPr>
                <w:sz w:val="20"/>
              </w:rPr>
              <w:t>26% -&gt; 24% = 7.3% reduction in share</w:t>
            </w:r>
          </w:p>
        </w:tc>
      </w:tr>
      <w:tr>
        <w:tc>
          <w:tcPr>
            <w:tcW w:type="dxa" w:w="5040"/>
          </w:tcPr>
          <w:p>
            <w:r>
              <w:rPr>
                <w:sz w:val="20"/>
              </w:rPr>
              <w:t>Argentina</w:t>
            </w:r>
          </w:p>
        </w:tc>
        <w:tc>
          <w:tcPr>
            <w:tcW w:type="dxa" w:w="5040"/>
          </w:tcPr>
          <w:p>
            <w:r>
              <w:rPr>
                <w:sz w:val="20"/>
              </w:rPr>
              <w:t>19% -&gt; 17% = 10.1% reduction in share</w:t>
            </w:r>
          </w:p>
        </w:tc>
      </w:tr>
      <w:tr>
        <w:tc>
          <w:tcPr>
            <w:tcW w:type="dxa" w:w="5040"/>
          </w:tcPr>
          <w:p>
            <w:r>
              <w:rPr>
                <w:sz w:val="20"/>
              </w:rPr>
              <w:t>Colombia</w:t>
            </w:r>
          </w:p>
        </w:tc>
        <w:tc>
          <w:tcPr>
            <w:tcW w:type="dxa" w:w="5040"/>
          </w:tcPr>
          <w:p>
            <w:r>
              <w:rPr>
                <w:sz w:val="20"/>
              </w:rPr>
              <w:t>12% -&gt; 11% = 9.8% reduction in share</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Reduction</w:t>
            </w:r>
          </w:p>
        </w:tc>
      </w:tr>
      <w:tr>
        <w:tc>
          <w:tcPr>
            <w:tcW w:type="dxa" w:w="2520"/>
          </w:tcPr>
          <w:p>
            <w:r>
              <w:rPr>
                <w:sz w:val="20"/>
              </w:rPr>
              <w:t>Southeast Asia Supply Corridor</w:t>
            </w:r>
          </w:p>
        </w:tc>
        <w:tc>
          <w:tcPr>
            <w:tcW w:type="dxa" w:w="2520"/>
          </w:tcPr>
          <w:p>
            <w:r>
              <w:rPr>
                <w:sz w:val="20"/>
              </w:rPr>
              <w:t>26%</w:t>
            </w:r>
          </w:p>
        </w:tc>
        <w:tc>
          <w:tcPr>
            <w:tcW w:type="dxa" w:w="2520"/>
          </w:tcPr>
          <w:p>
            <w:r>
              <w:rPr>
                <w:sz w:val="20"/>
              </w:rPr>
              <w:t>0-0%</w:t>
            </w:r>
          </w:p>
        </w:tc>
        <w:tc>
          <w:tcPr>
            <w:tcW w:type="dxa" w:w="2520"/>
          </w:tcPr>
          <w:p>
            <w:r>
              <w:rPr>
                <w:sz w:val="20"/>
              </w:rPr>
              <w:t>26-26%</w:t>
            </w:r>
          </w:p>
        </w:tc>
      </w:tr>
    </w:tbl>
    <w:p/>
    <w:p>
      <w:pPr>
        <w:pStyle w:val="Heading2"/>
      </w:pPr>
      <w:r>
        <w:rPr>
          <w:color w:val="003366"/>
        </w:rPr>
        <w:t>COST ADVANTAGE DRIVERS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w:t>
            </w:r>
          </w:p>
        </w:tc>
        <w:tc>
          <w:tcPr>
            <w:tcW w:type="dxa" w:w="3360"/>
          </w:tcPr>
          <w:p>
            <w:r>
              <w:rPr>
                <w:b/>
                <w:sz w:val="20"/>
              </w:rPr>
              <w:t>Cost Benefit Driver</w:t>
            </w:r>
          </w:p>
        </w:tc>
        <w:tc>
          <w:tcPr>
            <w:tcW w:type="dxa" w:w="3360"/>
          </w:tcPr>
          <w:p>
            <w:r>
              <w:rPr>
                <w:b/>
                <w:sz w:val="20"/>
              </w:rPr>
              <w:t>Estimated Annual Advantage (USD)</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$103,866 – $233,698</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$103,866 – $233,698</w:t>
            </w:r>
          </w:p>
        </w:tc>
      </w:tr>
      <w:tr>
        <w:tc>
          <w:tcPr>
            <w:tcW w:type="dxa" w:w="3360"/>
          </w:tcPr>
          <w:p>
            <w:r>
              <w:rPr>
                <w:sz w:val="20"/>
              </w:rPr>
              <w:t>Eastern Europe</w:t>
            </w:r>
          </w:p>
        </w:tc>
        <w:tc>
          <w:tcPr>
            <w:tcW w:type="dxa" w:w="3360"/>
          </w:tcPr>
          <w:p>
            <w:r>
              <w:rPr>
                <w:sz w:val="20"/>
              </w:rPr>
              <w:t>Diversification benefits + competitive pricing in Eastern Europe</w:t>
            </w:r>
          </w:p>
        </w:tc>
        <w:tc>
          <w:tcPr>
            <w:tcW w:type="dxa" w:w="3360"/>
          </w:tcPr>
          <w:p>
            <w:r>
              <w:rPr>
                <w:sz w:val="20"/>
              </w:rPr>
              <w:t>$103,866 – $233,698</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$311,598 – $701,094</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LOW</w:t>
            </w:r>
          </w:p>
        </w:tc>
        <w:tc>
          <w:tcPr>
            <w:tcW w:type="dxa" w:w="3360"/>
          </w:tcPr>
          <w:p>
            <w:r>
              <w:rPr>
                <w:sz w:val="20"/>
              </w:rPr>
              <w:t>Supplier concentration level</w:t>
            </w:r>
          </w:p>
        </w:tc>
      </w:tr>
      <w:tr>
        <w:tc>
          <w:tcPr>
            <w:tcW w:type="dxa" w:w="3360"/>
          </w:tcPr>
          <w:p>
            <w:r>
              <w:rPr>
                <w:sz w:val="20"/>
              </w:rPr>
              <w:t>Geographic Risk</w:t>
            </w:r>
          </w:p>
        </w:tc>
        <w:tc>
          <w:tcPr>
            <w:tcW w:type="dxa" w:w="3360"/>
          </w:tcPr>
          <w:p>
            <w:r>
              <w:rPr>
                <w:sz w:val="20"/>
              </w:rPr>
              <w:t>LOW</w:t>
            </w:r>
          </w:p>
        </w:tc>
        <w:tc>
          <w:tcPr>
            <w:tcW w:type="dxa" w:w="3360"/>
          </w:tcPr>
          <w:p>
            <w:r>
              <w:rPr>
                <w:sz w:val="20"/>
              </w:rPr>
              <w:t>Regional concentration level</w:t>
            </w:r>
          </w:p>
        </w:tc>
      </w:tr>
      <w:tr>
        <w:tc>
          <w:tcPr>
            <w:tcW w:type="dxa" w:w="3360"/>
          </w:tcPr>
          <w:p>
            <w:r>
              <w:rPr>
                <w:sz w:val="20"/>
              </w:rPr>
              <w:t>Supplier Diversity</w:t>
            </w:r>
          </w:p>
        </w:tc>
        <w:tc>
          <w:tcPr>
            <w:tcW w:type="dxa" w:w="3360"/>
          </w:tcPr>
          <w:p>
            <w:r>
              <w:rPr>
                <w:sz w:val="20"/>
              </w:rPr>
              <w:t>LOW</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1.0/4.0</w:t>
            </w:r>
          </w:p>
        </w:tc>
        <w:tc>
          <w:tcPr>
            <w:tcW w:type="dxa" w:w="3360"/>
          </w:tcPr>
          <w:p>
            <w:r>
              <w:rPr>
                <w:sz w:val="20"/>
              </w:rPr>
              <w:t>LOW</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$311,598 – $701,094</w:t>
            </w:r>
          </w:p>
        </w:tc>
      </w:tr>
      <w:tr>
        <w:tc>
          <w:tcPr>
            <w:tcW w:type="dxa" w:w="5040"/>
          </w:tcPr>
          <w:p>
            <w:r>
              <w:rPr>
                <w:sz w:val="20"/>
              </w:rPr>
              <w:t>Risk Reduction Value</w:t>
            </w:r>
          </w:p>
        </w:tc>
        <w:tc>
          <w:tcPr>
            <w:tcW w:type="dxa" w:w="5040"/>
          </w:tcPr>
          <w:p>
            <w:r>
              <w:rPr>
                <w:sz w:val="20"/>
              </w:rPr>
              <w:t>$-61,065</w:t>
            </w:r>
          </w:p>
        </w:tc>
      </w:tr>
      <w:tr>
        <w:tc>
          <w:tcPr>
            <w:tcW w:type="dxa" w:w="5040"/>
          </w:tcPr>
          <w:p>
            <w:r>
              <w:rPr>
                <w:sz w:val="20"/>
              </w:rPr>
              <w:t>ROI (First Year)</w:t>
            </w:r>
          </w:p>
        </w:tc>
        <w:tc>
          <w:tcPr>
            <w:tcW w:type="dxa" w:w="5040"/>
          </w:tcPr>
          <w:p>
            <w:r>
              <w:rPr>
                <w:sz w:val="20"/>
              </w:rPr>
              <w:t>45% – 270%</w:t>
            </w:r>
          </w:p>
        </w:tc>
      </w:tr>
      <w:tr>
        <w:tc>
          <w:tcPr>
            <w:tcW w:type="dxa" w:w="5040"/>
          </w:tcPr>
          <w:p>
            <w:r>
              <w:rPr>
                <w:sz w:val="20"/>
              </w:rPr>
              <w:t>3-Year Net Benefit</w:t>
            </w:r>
          </w:p>
        </w:tc>
        <w:tc>
          <w:tcPr>
            <w:tcW w:type="dxa" w:w="5040"/>
          </w:tcPr>
          <w:p>
            <w:r>
              <w:rPr>
                <w:sz w:val="20"/>
              </w:rPr>
              <w:t>$578,490 – $1,746,978</w:t>
            </w:r>
          </w:p>
        </w:tc>
      </w:tr>
    </w:tbl>
    <w:p/>
    <w:p>
      <w:pPr>
        <w:pStyle w:val="Heading2"/>
      </w:pPr>
      <w:r>
        <w:rPr>
          <w:color w:val="003366"/>
        </w:rPr>
        <w:t>STRATEGIC OUTCOME</w:t>
      </w:r>
    </w:p>
    <w:p>
      <w:pPr>
        <w:pStyle w:val="ListBullet"/>
      </w:pPr>
      <w:r>
        <w:t>Reduce single-supplier concentration from 26% to 40% in Phase 1</w:t>
      </w:r>
    </w:p>
    <w:p>
      <w:pPr>
        <w:pStyle w:val="ListBullet"/>
      </w:pPr>
      <w:r>
        <w:t>Activate diversified spend via new qualified suppliers</w:t>
      </w:r>
    </w:p>
    <w:p>
      <w:pPr>
        <w:pStyle w:val="ListBullet"/>
      </w:pPr>
      <w:r>
        <w:t>Improve pricing leverage through supplier competition</w:t>
      </w:r>
    </w:p>
    <w:p>
      <w:pPr>
        <w:pStyle w:val="ListBullet"/>
      </w:pPr>
      <w:r>
        <w:t>Reduce southeast asia supply corridor risk by ~26%</w:t>
      </w:r>
    </w:p>
    <w:p>
      <w:pPr>
        <w:pStyle w:val="ListBullet"/>
      </w:pPr>
      <w:r>
        <w:t>Achieve estimated annual cost advantage of USD 311,598-701,094 while improving supply continuity</w:t>
      </w:r>
    </w:p>
    <w:p/>
    <w:p>
      <w:pPr>
        <w:pStyle w:val="Heading2"/>
      </w:pPr>
      <w:r>
        <w:rPr>
          <w:color w:val="003366"/>
        </w:rPr>
        <w:t>WHY THIS MATTERS</w:t>
      </w:r>
    </w:p>
    <w:p>
      <w:r>
        <w:t>## Market Intelligence Brief: Rice Category</w:t>
        <w:br/>
        <w:br/>
        <w:t>The rice market is currently influenced by several key trends, notably the increasing emphasis on supply chain resilience and sustainability requirements. As a board-level priority, supply chain resilience necessitates a strategic approach to sourcing, particularly in light of geopolitical tensions that can affect regional sourcing decisions. This is compounded by the growing importance of sustainability in supplier selection, which is becoming a critical factor in procurement strategies [SOURCE-2]. Digital transformation also plays a significant role, enabling enhanced supplier visibility and facilitating more informed decision-making processes.</w:t>
        <w:br/>
        <w:br/>
        <w:t>Regionally, the rice supply chain involves diverse considerations. In the APAC region, countries like Vietnam and Malaysia offer manufacturing scale and cost efficiency, making them attractive for sourcing rice [SOURCE-1]. However, the high geographic concentration risk, particularly if over 70% of sourcing is from a single region, necessitates diversification to mitigate potential disruptions [SOURCE-2]. The Americas, with countries like Argentina and Colombia, provide strong infrastructure and established supply chains, which can be leveraged to balance the risk associated with APAC concentration [SOURCE-1]. Additionally, Europe, represented by Belgium, emphasizes quality and regulatory compliance, which can be crucial for meeting sustainability and compliance requirements [SOURCE-1].</w:t>
        <w:br/>
        <w:br/>
        <w:t>For procurement decisions, it is essential to consider the total cost of ownership, including logistics, quality, and lead times, when evaluating suppliers from these regions [SOURCE-1]. Nearshoring options, such as sourcing from Argentina or Colombia, can offer faster response times and lower logistics costs, enhancing supply chain agility [SOURCE-1]. Balancing these factors with the need for geographic diversification and sustainability compliance will be key to optimizing the rice supply chain and ensuring long-term resilience.</w:t>
        <w:br/>
        <w:br/>
        <w:t>---</w:t>
        <w:br/>
        <w:t>Sources: regional_strategy.txt, risk_assessment.txt, spend_data.csv:Grains &amp; Cereals</w:t>
      </w:r>
    </w:p>
    <w:p/>
    <w:p>
      <w:pPr>
        <w:pStyle w:val="Heading2"/>
      </w:pPr>
      <w:r>
        <w:rPr>
          <w:color w:val="003366"/>
        </w:rPr>
        <w:t>BUSINESS JUSTIFICATION</w:t>
      </w:r>
    </w:p>
    <w:p>
      <w:r>
        <w:t>BUSINESS CASE JUSTIFICATION:</w:t>
        <w:br/>
        <w:br/>
        <w:t>1. FINANCIAL RETURN: The proposed diversification is projected to deliver $311,598 to $701,094 in annual cost savings, representing a 45%-270% ROI on the estimated $173,110 implementation investment.</w:t>
        <w:br/>
        <w:br/>
        <w:t>2. RISK MITIGATION: Current risk level is rated LOW. Reducing concentration by -14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w:t>
        <w:br/>
        <w:br/>
        <w:t>SUPPLIER RISK (MODERATE): At 26% concentration, there is opportunity to further balance the supplier portfolio.</w:t>
        <w:br/>
        <w:br/>
      </w:r>
    </w:p>
    <w:p/>
    <w:p>
      <w:pPr>
        <w:pStyle w:val="Heading2"/>
      </w:pPr>
      <w:r>
        <w:rPr>
          <w:color w:val="003366"/>
        </w:rPr>
        <w:t>RECOMMENDATION RATIONALE</w:t>
      </w:r>
    </w:p>
    <w:p>
      <w:r>
        <w:t>BUSINESS CASE JUSTIFICATION:</w:t>
        <w:br/>
        <w:br/>
        <w:t>1. FINANCIAL RETURN: The proposed diversification is projected to deliver $311,598 to $701,094 in annual cost savings, representing a 45%-270% ROI on the estimated $173,110 implementation investment.</w:t>
        <w:br/>
        <w:br/>
        <w:t>2. RISK MITIGATION: Current risk level is rated LOW. Reducing concentration by -14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 AI-GENERATED EXECUTIVE SUMMARY</w:t>
      </w:r>
    </w:p>
    <w:p>
      <w:pPr>
        <w:spacing w:after="240"/>
      </w:pPr>
      <w:r>
        <w:t>This analysis identifies significant regional concentration risk, with 26% of the $8,655,500 annual spend concentrated in Singapore. The current risk level is rated LOW, indicating vulnerability to regional disruptions.</w:t>
        <w:br/>
        <w:br/>
        <w:t>The recommended diversification strategy targets geographic rebalancing through strategic expansion into alternative supply regions. This initiative is projected to deliver $311,598 to $701,094 in annual cost advantages while significantly improving supply chain resilience.</w:t>
        <w:br/>
        <w:br/>
        <w:t>Implementation follows a 26-week phased approach, starting with regional supplier identification and qualification, followed by pilot allocations to validate performance.</w:t>
      </w:r>
    </w:p>
    <w:p/>
    <w:p>
      <w:pPr>
        <w:pStyle w:val="Heading2"/>
      </w:pPr>
      <w:r>
        <w:rPr>
          <w:color w:val="003366"/>
        </w:rPr>
        <w:t>🤖 AI-POWERED RISK ANALYSIS</w:t>
      </w:r>
    </w:p>
    <w:p>
      <w:pPr>
        <w:spacing w:after="240"/>
      </w:pPr>
      <w:r>
        <w:t>## Risk Analysis Narrative</w:t>
        <w:br/>
        <w:br/>
        <w:t>Based on the provided data, the most critical risk identified is the supplier concentration with Olam International, which accounts for 25.9% of the total spend. Although this concentration is below the critical threshold of 60% for single supplier dependency [SOURCE-3], it still represents a significant portion of the procurement budget. High supplier concentration can lead to supply chain disruptions if the supplier faces operational challenges or fails to meet contractual obligations. This risk is compounded by the geographic concentration in Singapore, which also stands at 25.9%. While this is below the high-risk threshold of 70% [SOURCE-1], it suggests a potential vulnerability to regional disruptions.</w:t>
        <w:br/>
        <w:br/>
        <w:t>The business impact of these risks includes potential supply chain disruptions, increased bargaining power of the supplier, and limited flexibility in sourcing alternatives. In the event of geopolitical instability or natural disasters affecting Singapore, the company could face delays and increased costs. To mitigate these risks, it is advisable to diversify the supplier base and geographic sourcing locations. According to best practices, maintaining at least 3-5 qualified suppliers for critical categories and diversifying across regions such as the Americas, Europe, and the Middle East can significantly reduce exposure [SOURCE-2].</w:t>
        <w:br/>
        <w:br/>
        <w:t>Immediate attention should be given to qualifying additional suppliers to reduce dependency on Olam International. Implementing a dual sourcing strategy can balance cost efficiency with risk mitigation [SOURCE-2]. Additionally, exploring opportunities in emerging markets such as Africa and the Middle East can provide diversification benefits and enhance supply chain resilience [SOURCE-4]. By addressing these risks proactively, the company can ensure a more robust and flexible supply chain, capable of withstanding potential disruptions.</w:t>
        <w:br/>
        <w:br/>
        <w:t>---</w:t>
        <w:br/>
        <w:t>Sources: risk_assessment.txt, supplier_risk.txt, procurement_rulebook.csv</w:t>
      </w:r>
    </w:p>
    <w:p/>
    <w:p>
      <w:pPr>
        <w:pStyle w:val="Heading2"/>
      </w:pPr>
      <w:r>
        <w:rPr>
          <w:color w:val="003366"/>
        </w:rPr>
        <w:t>🤖 AI-GENERATED STRATEGIC RECOMMENDATIONS</w:t>
      </w:r>
    </w:p>
    <w:p>
      <w:pPr>
        <w:spacing w:after="240"/>
      </w:pPr>
      <w:r>
        <w:t>BUSINESS CASE JUSTIFICATION:</w:t>
        <w:br/>
        <w:br/>
        <w:t>1. FINANCIAL RETURN: The proposed diversification is projected to deliver $311,598 to $701,094 in annual cost savings, representing a 45%-270% ROI on the estimated $173,110 implementation investment.</w:t>
        <w:br/>
        <w:br/>
        <w:t>2. RISK MITIGATION: Current risk level is rated LOW. Reducing concentration by -14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 AI MARKET INTELLIGENCE</w:t>
      </w:r>
    </w:p>
    <w:p>
      <w:pPr>
        <w:spacing w:after="240"/>
      </w:pPr>
      <w:r>
        <w:t>## Market Intelligence Brief: Rice Category</w:t>
        <w:br/>
        <w:br/>
        <w:t>The rice market is currently influenced by several key trends, notably the increasing emphasis on supply chain resilience and sustainability requirements. As a board-level priority, supply chain resilience necessitates a strategic approach to sourcing, particularly in light of geopolitical tensions that can affect regional sourcing decisions. This is compounded by the growing importance of sustainability in supplier selection, which is becoming a critical factor in procurement strategies [SOURCE-2]. Digital transformation also plays a significant role, enabling enhanced supplier visibility and facilitating more informed decision-making processes.</w:t>
        <w:br/>
        <w:br/>
        <w:t>Regionally, the rice supply chain involves diverse considerations. In the APAC region, countries like Vietnam and Malaysia offer manufacturing scale and cost efficiency, making them attractive for sourcing rice [SOURCE-1]. However, the high geographic concentration risk, particularly if over 70% of sourcing is from a single region, necessitates diversification to mitigate potential disruptions [SOURCE-2]. The Americas, with countries like Argentina and Colombia, provide strong infrastructure and established supply chains, which can be leveraged to balance the risk associated with APAC concentration [SOURCE-1]. Additionally, Europe, represented by Belgium, emphasizes quality and regulatory compliance, which can be crucial for meeting sustainability and compliance requirements [SOURCE-1].</w:t>
        <w:br/>
        <w:br/>
        <w:t>For procurement decisions, it is essential to consider the total cost of ownership, including logistics, quality, and lead times, when evaluating suppliers from these regions [SOURCE-1]. Nearshoring options, such as sourcing from Argentina or Colombia, can offer faster response times and lower logistics costs, enhancing supply chain agility [SOURCE-1]. Balancing these factors with the need for geographic diversification and sustainability compliance will be key to optimizing the rice supply chain and ensuring long-term resilience.</w:t>
        <w:br/>
        <w:br/>
        <w:t>---</w:t>
        <w:br/>
        <w:t>Sources: regional_strategy.txt, risk_assessment.txt, spend_data.csv:Grains &amp; Cereals</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China, Mexico, Eastern Europe</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