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DIVERSIFICATION</w:t>
      </w:r>
    </w:p>
    <w:p>
      <w:pPr>
        <w:jc w:val="center"/>
      </w:pPr>
      <w:r>
        <w:rPr>
          <w:i/>
          <w:sz w:val="22"/>
        </w:rPr>
        <w:t>Regional Concentration Analysis &amp; Diversification Strategy</w:t>
      </w:r>
    </w:p>
    <w:p>
      <w:pPr>
        <w:jc w:val="center"/>
      </w:pPr>
      <w:r>
        <w:rPr>
          <w:b/>
          <w:sz w:val="24"/>
        </w:rPr>
        <w:t>Total Category Spend 2026: USD 8,655,500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Singapore</w:t>
            </w:r>
          </w:p>
        </w:tc>
        <w:tc>
          <w:tcPr>
            <w:tcW w:type="dxa" w:w="3360"/>
          </w:tcPr>
          <w:p>
            <w:r>
              <w:rPr>
                <w:sz w:val="20"/>
              </w:rPr>
              <w:t>26%</w:t>
            </w:r>
          </w:p>
        </w:tc>
        <w:tc>
          <w:tcPr>
            <w:tcW w:type="dxa" w:w="3360"/>
          </w:tcPr>
          <w:p>
            <w:r>
              <w:rPr>
                <w:sz w:val="20"/>
              </w:rPr>
              <w:t>$2,241,300</w:t>
            </w:r>
          </w:p>
        </w:tc>
      </w:tr>
      <w:tr>
        <w:tc>
          <w:tcPr>
            <w:tcW w:type="dxa" w:w="3360"/>
          </w:tcPr>
          <w:p>
            <w:r>
              <w:rPr>
                <w:sz w:val="20"/>
              </w:rPr>
              <w:t>Argentina</w:t>
            </w:r>
          </w:p>
        </w:tc>
        <w:tc>
          <w:tcPr>
            <w:tcW w:type="dxa" w:w="3360"/>
          </w:tcPr>
          <w:p>
            <w:r>
              <w:rPr>
                <w:sz w:val="20"/>
              </w:rPr>
              <w:t>19%</w:t>
            </w:r>
          </w:p>
        </w:tc>
        <w:tc>
          <w:tcPr>
            <w:tcW w:type="dxa" w:w="3360"/>
          </w:tcPr>
          <w:p>
            <w:r>
              <w:rPr>
                <w:sz w:val="20"/>
              </w:rPr>
              <w:t>$1,636,300</w:t>
            </w:r>
          </w:p>
        </w:tc>
      </w:tr>
      <w:tr>
        <w:tc>
          <w:tcPr>
            <w:tcW w:type="dxa" w:w="3360"/>
          </w:tcPr>
          <w:p>
            <w:r>
              <w:rPr>
                <w:sz w:val="20"/>
              </w:rPr>
              <w:t>Colombia</w:t>
            </w:r>
          </w:p>
        </w:tc>
        <w:tc>
          <w:tcPr>
            <w:tcW w:type="dxa" w:w="3360"/>
          </w:tcPr>
          <w:p>
            <w:r>
              <w:rPr>
                <w:sz w:val="20"/>
              </w:rPr>
              <w:t>12%</w:t>
            </w:r>
          </w:p>
        </w:tc>
        <w:tc>
          <w:tcPr>
            <w:tcW w:type="dxa" w:w="3360"/>
          </w:tcPr>
          <w:p>
            <w:r>
              <w:rPr>
                <w:sz w:val="20"/>
              </w:rPr>
              <w:t>$1,055,300</w:t>
            </w:r>
          </w:p>
        </w:tc>
      </w:tr>
      <w:tr>
        <w:tc>
          <w:tcPr>
            <w:tcW w:type="dxa" w:w="3360"/>
          </w:tcPr>
          <w:p>
            <w:r>
              <w:rPr>
                <w:sz w:val="20"/>
              </w:rPr>
              <w:t>Belgium</w:t>
            </w:r>
          </w:p>
        </w:tc>
        <w:tc>
          <w:tcPr>
            <w:tcW w:type="dxa" w:w="3360"/>
          </w:tcPr>
          <w:p>
            <w:r>
              <w:rPr>
                <w:sz w:val="20"/>
              </w:rPr>
              <w:t>12%</w:t>
            </w:r>
          </w:p>
        </w:tc>
        <w:tc>
          <w:tcPr>
            <w:tcW w:type="dxa" w:w="3360"/>
          </w:tcPr>
          <w:p>
            <w:r>
              <w:rPr>
                <w:sz w:val="20"/>
              </w:rPr>
              <w:t>$997,900</w:t>
            </w:r>
          </w:p>
        </w:tc>
      </w:tr>
      <w:tr>
        <w:tc>
          <w:tcPr>
            <w:tcW w:type="dxa" w:w="3360"/>
          </w:tcPr>
          <w:p>
            <w:r>
              <w:rPr>
                <w:sz w:val="20"/>
              </w:rPr>
              <w:t>India</w:t>
            </w:r>
          </w:p>
        </w:tc>
        <w:tc>
          <w:tcPr>
            <w:tcW w:type="dxa" w:w="3360"/>
          </w:tcPr>
          <w:p>
            <w:r>
              <w:rPr>
                <w:sz w:val="20"/>
              </w:rPr>
              <w:t>9%</w:t>
            </w:r>
          </w:p>
        </w:tc>
        <w:tc>
          <w:tcPr>
            <w:tcW w:type="dxa" w:w="3360"/>
          </w:tcPr>
          <w:p>
            <w:r>
              <w:rPr>
                <w:sz w:val="20"/>
              </w:rPr>
              <w:t>$756,000</w:t>
            </w:r>
          </w:p>
        </w:tc>
      </w:tr>
    </w:tbl>
    <w:p>
      <w:pPr>
        <w:spacing w:before="120"/>
      </w:pPr>
      <w:r>
        <w:t>Regional distribution is within acceptable limits, but diversification opportunities exist.</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Singapore</w:t>
            </w:r>
          </w:p>
        </w:tc>
        <w:tc>
          <w:tcPr>
            <w:tcW w:type="dxa" w:w="2520"/>
          </w:tcPr>
          <w:p>
            <w:r>
              <w:rPr>
                <w:sz w:val="20"/>
              </w:rPr>
              <w:t>24%</w:t>
            </w:r>
          </w:p>
        </w:tc>
        <w:tc>
          <w:tcPr>
            <w:tcW w:type="dxa" w:w="2520"/>
          </w:tcPr>
          <w:p>
            <w:r>
              <w:rPr>
                <w:sz w:val="20"/>
              </w:rPr>
              <w:t>$2,077,320</w:t>
            </w:r>
          </w:p>
        </w:tc>
        <w:tc>
          <w:tcPr>
            <w:tcW w:type="dxa" w:w="2520"/>
          </w:tcPr>
          <w:p>
            <w:r>
              <w:rPr>
                <w:sz w:val="20"/>
              </w:rPr>
              <w:t>2% lower</w:t>
            </w:r>
          </w:p>
        </w:tc>
      </w:tr>
      <w:tr>
        <w:tc>
          <w:tcPr>
            <w:tcW w:type="dxa" w:w="2520"/>
          </w:tcPr>
          <w:p>
            <w:r>
              <w:rPr>
                <w:sz w:val="20"/>
              </w:rPr>
              <w:t>Argentina</w:t>
            </w:r>
          </w:p>
        </w:tc>
        <w:tc>
          <w:tcPr>
            <w:tcW w:type="dxa" w:w="2520"/>
          </w:tcPr>
          <w:p>
            <w:r>
              <w:rPr>
                <w:sz w:val="20"/>
              </w:rPr>
              <w:t>17%</w:t>
            </w:r>
          </w:p>
        </w:tc>
        <w:tc>
          <w:tcPr>
            <w:tcW w:type="dxa" w:w="2520"/>
          </w:tcPr>
          <w:p>
            <w:r>
              <w:rPr>
                <w:sz w:val="20"/>
              </w:rPr>
              <w:t>$1,471,435</w:t>
            </w:r>
          </w:p>
        </w:tc>
        <w:tc>
          <w:tcPr>
            <w:tcW w:type="dxa" w:w="2520"/>
          </w:tcPr>
          <w:p>
            <w:r>
              <w:rPr>
                <w:sz w:val="20"/>
              </w:rPr>
              <w:t>2% lower</w:t>
            </w:r>
          </w:p>
        </w:tc>
      </w:tr>
      <w:tr>
        <w:tc>
          <w:tcPr>
            <w:tcW w:type="dxa" w:w="2520"/>
          </w:tcPr>
          <w:p>
            <w:r>
              <w:rPr>
                <w:sz w:val="20"/>
              </w:rPr>
              <w:t>Colombia</w:t>
            </w:r>
          </w:p>
        </w:tc>
        <w:tc>
          <w:tcPr>
            <w:tcW w:type="dxa" w:w="2520"/>
          </w:tcPr>
          <w:p>
            <w:r>
              <w:rPr>
                <w:sz w:val="20"/>
              </w:rPr>
              <w:t>11%</w:t>
            </w:r>
          </w:p>
        </w:tc>
        <w:tc>
          <w:tcPr>
            <w:tcW w:type="dxa" w:w="2520"/>
          </w:tcPr>
          <w:p>
            <w:r>
              <w:rPr>
                <w:sz w:val="20"/>
              </w:rPr>
              <w:t>$952,105</w:t>
            </w:r>
          </w:p>
        </w:tc>
        <w:tc>
          <w:tcPr>
            <w:tcW w:type="dxa" w:w="2520"/>
          </w:tcPr>
          <w:p>
            <w:r>
              <w:rPr>
                <w:sz w:val="20"/>
              </w:rPr>
              <w:t>1% lower</w:t>
            </w:r>
          </w:p>
        </w:tc>
      </w:tr>
      <w:tr>
        <w:tc>
          <w:tcPr>
            <w:tcW w:type="dxa" w:w="2520"/>
          </w:tcPr>
          <w:p>
            <w:r>
              <w:rPr>
                <w:sz w:val="20"/>
              </w:rPr>
              <w:t>India</w:t>
            </w:r>
          </w:p>
        </w:tc>
        <w:tc>
          <w:tcPr>
            <w:tcW w:type="dxa" w:w="2520"/>
          </w:tcPr>
          <w:p>
            <w:r>
              <w:rPr>
                <w:sz w:val="20"/>
              </w:rPr>
              <w:t>16%</w:t>
            </w:r>
          </w:p>
        </w:tc>
        <w:tc>
          <w:tcPr>
            <w:tcW w:type="dxa" w:w="2520"/>
          </w:tcPr>
          <w:p>
            <w:r>
              <w:rPr>
                <w:sz w:val="20"/>
              </w:rPr>
              <w:t>$1,384,880</w:t>
            </w:r>
          </w:p>
        </w:tc>
        <w:tc>
          <w:tcPr>
            <w:tcW w:type="dxa" w:w="2520"/>
          </w:tcPr>
          <w:p>
            <w:r>
              <w:rPr>
                <w:sz w:val="20"/>
              </w:rPr>
              <w:t>7% higher</w:t>
            </w:r>
          </w:p>
        </w:tc>
      </w:tr>
      <w:tr>
        <w:tc>
          <w:tcPr>
            <w:tcW w:type="dxa" w:w="2520"/>
          </w:tcPr>
          <w:p>
            <w:r>
              <w:rPr>
                <w:sz w:val="20"/>
              </w:rPr>
              <w:t>China</w:t>
            </w:r>
          </w:p>
        </w:tc>
        <w:tc>
          <w:tcPr>
            <w:tcW w:type="dxa" w:w="2520"/>
          </w:tcPr>
          <w:p>
            <w:r>
              <w:rPr>
                <w:sz w:val="20"/>
              </w:rPr>
              <w:t>16%</w:t>
            </w:r>
          </w:p>
        </w:tc>
        <w:tc>
          <w:tcPr>
            <w:tcW w:type="dxa" w:w="2520"/>
          </w:tcPr>
          <w:p>
            <w:r>
              <w:rPr>
                <w:sz w:val="20"/>
              </w:rPr>
              <w:t>$1,384,880</w:t>
            </w:r>
          </w:p>
        </w:tc>
        <w:tc>
          <w:tcPr>
            <w:tcW w:type="dxa" w:w="2520"/>
          </w:tcPr>
          <w:p>
            <w:r>
              <w:rPr>
                <w:sz w:val="20"/>
              </w:rPr>
              <w:t>New addition</w:t>
            </w:r>
          </w:p>
        </w:tc>
      </w:tr>
      <w:tr>
        <w:tc>
          <w:tcPr>
            <w:tcW w:type="dxa" w:w="2520"/>
          </w:tcPr>
          <w:p>
            <w:r>
              <w:rPr>
                <w:sz w:val="20"/>
              </w:rPr>
              <w:t>Mexico</w:t>
            </w:r>
          </w:p>
        </w:tc>
        <w:tc>
          <w:tcPr>
            <w:tcW w:type="dxa" w:w="2520"/>
          </w:tcPr>
          <w:p>
            <w:r>
              <w:rPr>
                <w:sz w:val="20"/>
              </w:rPr>
              <w:t>16%</w:t>
            </w:r>
          </w:p>
        </w:tc>
        <w:tc>
          <w:tcPr>
            <w:tcW w:type="dxa" w:w="2520"/>
          </w:tcPr>
          <w:p>
            <w:r>
              <w:rPr>
                <w:sz w:val="20"/>
              </w:rPr>
              <w:t>$1,384,880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$8,655,500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Singapore</w:t>
            </w:r>
          </w:p>
        </w:tc>
        <w:tc>
          <w:tcPr>
            <w:tcW w:type="dxa" w:w="5040"/>
          </w:tcPr>
          <w:p>
            <w:r>
              <w:rPr>
                <w:sz w:val="20"/>
              </w:rPr>
              <w:t>26% -&gt; 24% = 7.3% reduction in share</w:t>
            </w:r>
          </w:p>
        </w:tc>
      </w:tr>
      <w:tr>
        <w:tc>
          <w:tcPr>
            <w:tcW w:type="dxa" w:w="5040"/>
          </w:tcPr>
          <w:p>
            <w:r>
              <w:rPr>
                <w:sz w:val="20"/>
              </w:rPr>
              <w:t>Argentina</w:t>
            </w:r>
          </w:p>
        </w:tc>
        <w:tc>
          <w:tcPr>
            <w:tcW w:type="dxa" w:w="5040"/>
          </w:tcPr>
          <w:p>
            <w:r>
              <w:rPr>
                <w:sz w:val="20"/>
              </w:rPr>
              <w:t>19% -&gt; 17% = 10.1% reduction in share</w:t>
            </w:r>
          </w:p>
        </w:tc>
      </w:tr>
      <w:tr>
        <w:tc>
          <w:tcPr>
            <w:tcW w:type="dxa" w:w="5040"/>
          </w:tcPr>
          <w:p>
            <w:r>
              <w:rPr>
                <w:sz w:val="20"/>
              </w:rPr>
              <w:t>Colombia</w:t>
            </w:r>
          </w:p>
        </w:tc>
        <w:tc>
          <w:tcPr>
            <w:tcW w:type="dxa" w:w="5040"/>
          </w:tcPr>
          <w:p>
            <w:r>
              <w:rPr>
                <w:sz w:val="20"/>
              </w:rPr>
              <w:t>12% -&gt; 11% = 9.8%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Southeast Asia Supply Corridor</w:t>
            </w:r>
          </w:p>
        </w:tc>
        <w:tc>
          <w:tcPr>
            <w:tcW w:type="dxa" w:w="2520"/>
          </w:tcPr>
          <w:p>
            <w:r>
              <w:rPr>
                <w:sz w:val="20"/>
              </w:rPr>
              <w:t>26%</w:t>
            </w:r>
          </w:p>
        </w:tc>
        <w:tc>
          <w:tcPr>
            <w:tcW w:type="dxa" w:w="2520"/>
          </w:tcPr>
          <w:p>
            <w:r>
              <w:rPr>
                <w:sz w:val="20"/>
              </w:rPr>
              <w:t>0-0%</w:t>
            </w:r>
          </w:p>
        </w:tc>
        <w:tc>
          <w:tcPr>
            <w:tcW w:type="dxa" w:w="2520"/>
          </w:tcPr>
          <w:p>
            <w:r>
              <w:rPr>
                <w:sz w:val="20"/>
              </w:rPr>
              <w:t>26-26%</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$103,866 – $233,698</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$103,866 – $233,698</w:t>
            </w:r>
          </w:p>
        </w:tc>
      </w:tr>
      <w:tr>
        <w:tc>
          <w:tcPr>
            <w:tcW w:type="dxa" w:w="3360"/>
          </w:tcPr>
          <w:p>
            <w:r>
              <w:rPr>
                <w:sz w:val="20"/>
              </w:rPr>
              <w:t>Eastern Europe</w:t>
            </w:r>
          </w:p>
        </w:tc>
        <w:tc>
          <w:tcPr>
            <w:tcW w:type="dxa" w:w="3360"/>
          </w:tcPr>
          <w:p>
            <w:r>
              <w:rPr>
                <w:sz w:val="20"/>
              </w:rPr>
              <w:t>Diversification benefits + competitive pricing in Eastern Europe</w:t>
            </w:r>
          </w:p>
        </w:tc>
        <w:tc>
          <w:tcPr>
            <w:tcW w:type="dxa" w:w="3360"/>
          </w:tcPr>
          <w:p>
            <w:r>
              <w:rPr>
                <w:sz w:val="20"/>
              </w:rPr>
              <w:t>$103,866 – $233,698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$311,598 – $701,094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LOW</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LOW</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1.0/4.0</w:t>
            </w:r>
          </w:p>
        </w:tc>
        <w:tc>
          <w:tcPr>
            <w:tcW w:type="dxa" w:w="3360"/>
          </w:tcPr>
          <w:p>
            <w:r>
              <w:rPr>
                <w:sz w:val="20"/>
              </w:rPr>
              <w:t>LOW</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$311,598 – $701,094</w:t>
            </w:r>
          </w:p>
        </w:tc>
      </w:tr>
      <w:tr>
        <w:tc>
          <w:tcPr>
            <w:tcW w:type="dxa" w:w="5040"/>
          </w:tcPr>
          <w:p>
            <w:r>
              <w:rPr>
                <w:sz w:val="20"/>
              </w:rPr>
              <w:t>Risk Reduction Value</w:t>
            </w:r>
          </w:p>
        </w:tc>
        <w:tc>
          <w:tcPr>
            <w:tcW w:type="dxa" w:w="5040"/>
          </w:tcPr>
          <w:p>
            <w:r>
              <w:rPr>
                <w:sz w:val="20"/>
              </w:rPr>
              <w:t>$-61,065</w:t>
            </w:r>
          </w:p>
        </w:tc>
      </w:tr>
      <w:tr>
        <w:tc>
          <w:tcPr>
            <w:tcW w:type="dxa" w:w="5040"/>
          </w:tcPr>
          <w:p>
            <w:r>
              <w:rPr>
                <w:sz w:val="20"/>
              </w:rPr>
              <w:t>ROI (First Year)</w:t>
            </w:r>
          </w:p>
        </w:tc>
        <w:tc>
          <w:tcPr>
            <w:tcW w:type="dxa" w:w="5040"/>
          </w:tcPr>
          <w:p>
            <w:r>
              <w:rPr>
                <w:sz w:val="20"/>
              </w:rPr>
              <w:t>45% – 270%</w:t>
            </w:r>
          </w:p>
        </w:tc>
      </w:tr>
      <w:tr>
        <w:tc>
          <w:tcPr>
            <w:tcW w:type="dxa" w:w="5040"/>
          </w:tcPr>
          <w:p>
            <w:r>
              <w:rPr>
                <w:sz w:val="20"/>
              </w:rPr>
              <w:t>3-Year Net Benefit</w:t>
            </w:r>
          </w:p>
        </w:tc>
        <w:tc>
          <w:tcPr>
            <w:tcW w:type="dxa" w:w="5040"/>
          </w:tcPr>
          <w:p>
            <w:r>
              <w:rPr>
                <w:sz w:val="20"/>
              </w:rPr>
              <w:t>$578,490 – $1,746,978</w:t>
            </w:r>
          </w:p>
        </w:tc>
      </w:tr>
    </w:tbl>
    <w:p/>
    <w:p>
      <w:pPr>
        <w:pStyle w:val="Heading2"/>
      </w:pPr>
      <w:r>
        <w:rPr>
          <w:color w:val="003366"/>
        </w:rPr>
        <w:t>STRATEGIC OUTCOME</w:t>
      </w:r>
    </w:p>
    <w:p>
      <w:pPr>
        <w:pStyle w:val="ListBullet"/>
      </w:pPr>
      <w:r>
        <w:t>Reduce single-supplier concentration from 26% to 40% in Phase 1</w:t>
      </w:r>
    </w:p>
    <w:p>
      <w:pPr>
        <w:pStyle w:val="ListBullet"/>
      </w:pPr>
      <w:r>
        <w:t>Activate diversified spend via new qualified suppliers</w:t>
      </w:r>
    </w:p>
    <w:p>
      <w:pPr>
        <w:pStyle w:val="ListBullet"/>
      </w:pPr>
      <w:r>
        <w:t>Improve pricing leverage through supplier competition</w:t>
      </w:r>
    </w:p>
    <w:p>
      <w:pPr>
        <w:pStyle w:val="ListBullet"/>
      </w:pPr>
      <w:r>
        <w:t>Reduce southeast asia supply corridor risk by ~26%</w:t>
      </w:r>
    </w:p>
    <w:p>
      <w:pPr>
        <w:pStyle w:val="ListBullet"/>
      </w:pPr>
      <w:r>
        <w:t>Achieve estimated annual cost advantage of USD 311,598-701,094 while improving supply continuity</w:t>
      </w:r>
    </w:p>
    <w:p/>
    <w:p>
      <w:pPr>
        <w:pStyle w:val="Heading2"/>
      </w:pPr>
      <w:r>
        <w:rPr>
          <w:color w:val="003366"/>
        </w:rPr>
        <w:t>WHY THIS MATTERS</w:t>
      </w:r>
    </w:p>
    <w:p>
      <w:r>
        <w:t>## MARKET INTELLIGENCE BRIEF: RICE CATEGORY</w:t>
        <w:br/>
        <w:br/>
        <w:t>The rice category is currently influenced by several key market trends that are critical for procurement strategies. Geopolitical tensions are impacting regional sourcing decisions, necessitating a careful evaluation of supply chain resilience, which has become a board-level priority [SOURCE-2]. Additionally, sustainability requirements are increasingly shaping supplier selection processes, as companies strive to meet regulatory and consumer expectations [SOURCE-2]. The digital transformation of supply chains is enabling better supplier visibility, which can enhance decision-making and risk management capabilities [SOURCE-2].</w:t>
        <w:br/>
        <w:br/>
        <w:t>Regionally, the supply chain considerations for rice procurement are diverse. In the APAC region, countries like India, Malaysia, and Vietnam offer manufacturing scale and cost efficiency, which are advantageous for large-scale procurement [SOURCE-1]. However, the high geographic concentration of suppliers in a single region, such as APAC, poses a high risk if more than 70% of sourcing is concentrated there, necessitating diversification strategies [SOURCE-2]. In contrast, regions like Europe, represented by Belgium, focus on quality and regulatory compliance, which can be beneficial for meeting stringent quality standards [SOURCE-1]. The Americas, with countries like Argentina and Colombia, provide strong infrastructure and established supply chains, which can reduce logistics costs and improve supply chain reliability [SOURCE-1].</w:t>
        <w:br/>
        <w:br/>
        <w:t>For procurement decisions, it is crucial to balance these regional strengths with the risks identified. Diversifying suppliers across stable regions such as the Americas and Europe can mitigate geopolitical and single-source dependency risks [SOURCE-2]. Additionally, leveraging digital tools to enhance supplier visibility and compliance monitoring can further strengthen supply chain resilience and sustainability efforts [SOURCE-2].</w:t>
        <w:br/>
        <w:br/>
        <w:t>---</w:t>
        <w:br/>
        <w:t>Sources: regional_strategy.txt, risk_assessment.txt, spend_data.csv:Grains &amp; Cereals</w:t>
      </w:r>
    </w:p>
    <w:p/>
    <w:p>
      <w:pPr>
        <w:pStyle w:val="Heading2"/>
      </w:pPr>
      <w:r>
        <w:rPr>
          <w:color w:val="003366"/>
        </w:rPr>
        <w:t>BUSINESS JUSTIFICATION</w:t>
      </w:r>
    </w:p>
    <w:p>
      <w:r>
        <w:t>BUSINESS CASE JUSTIFICATION:</w:t>
        <w:br/>
        <w:br/>
        <w:t>1. FINANCIAL RETURN: The proposed diversification is projected to deliver $311,598 to $701,094 in annual cost savings, representing a 45%-270% ROI on the estimated $173,110 implementation investment.</w:t>
        <w:br/>
        <w:br/>
        <w:t>2. RISK MITIGATION: Current risk level is rated LOW. Reducing concentration by -14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w:t>
        <w:br/>
        <w:br/>
        <w:t>SUPPLIER RISK (MODERATE): At 26% concentration, there is opportunity to further balance the supplier portfolio.</w:t>
        <w:br/>
        <w:br/>
      </w:r>
    </w:p>
    <w:p/>
    <w:p>
      <w:pPr>
        <w:pStyle w:val="Heading2"/>
      </w:pPr>
      <w:r>
        <w:rPr>
          <w:color w:val="003366"/>
        </w:rPr>
        <w:t>RECOMMENDATION RATIONALE</w:t>
      </w:r>
    </w:p>
    <w:p>
      <w:r>
        <w:t>## STRATEGIC RECOMMENDATIONS</w:t>
        <w:br/>
        <w:br/>
        <w:t>The proposed diversification strategy aims to reduce supplier concentration risk by targeting a dominant supplier share of 40%, down from the current 25.9% held by Olam International. This aligns with best practices in supplier concentration risk management, which advocate maintaining at least 3-5 qualified suppliers for critical categories to mitigate supply chain risks [SOURCE-1]. By expanding into new regions such as China, Mexico, and Eastern Europe, the strategy leverages these areas' strengths in manufacturing scale and cost efficiency, as highlighted in the regional procurement strategy overview [SOURCE-3]. These regions are recognized for their competitive labor costs and strong infrastructure, which can contribute to cost savings ranging from 8% to 18% [SOURCE-2].</w:t>
        <w:br/>
        <w:br/>
        <w:t>The selection of China, Mexico, and Eastern Europe as new sourcing regions is strategic. China offers manufacturing scale and cost efficiency, while Mexico provides proximity to the Americas, reducing logistics costs through nearshoring [SOURCE-3]. Eastern Europe, with its focus on quality and regulatory compliance, complements the existing supplier base by enhancing the overall supply chain resilience [SOURCE-3]. This geographic diversification not only reduces exposure to regional disruptions but also aligns with the industry best practice of balancing cost efficiency with risk mitigation through dual sourcing strategies [SOURCE-1].</w:t>
        <w:br/>
        <w:br/>
        <w:t>Potential challenges in implementing this strategy include managing the complexities of new supplier qualification and ensuring compliance with regulatory requirements. To mitigate these risks, it is crucial to conduct thorough due diligence and establish robust supplier management processes. Additionally, the payback period for such diversification initiatives typically ranges from 6 to 18 months, requiring careful planning and execution to achieve the anticipated cost savings and supply chain stability [SOURCE-2]. By adhering to these strategic guidelines, the organization can enhance its procurement resilience and achieve sustainable cost efficiencies.</w:t>
        <w:br/>
        <w:br/>
        <w:t>---</w:t>
        <w:br/>
        <w:t>Sources: supplier_risk.txt, roi_calculations.txt, regional_strategy.txt</w:t>
      </w:r>
    </w:p>
    <w:p/>
    <w:p>
      <w:pPr>
        <w:pStyle w:val="Heading2"/>
      </w:pPr>
      <w:r>
        <w:rPr>
          <w:color w:val="003366"/>
        </w:rPr>
        <w:t>🤖 AI-GENERATED EXECUTIVE SUMMARY</w:t>
      </w:r>
    </w:p>
    <w:p>
      <w:pPr>
        <w:spacing w:after="240"/>
      </w:pPr>
      <w:r>
        <w:t>This analysis identifies significant regional concentration risk, with 26% of the $8,655,500 annual spend concentrated in Singapore. The current risk level is rated LOW, indicating vulnerability to regional disruptions.</w:t>
        <w:br/>
        <w:br/>
        <w:t>The recommended diversification strategy targets geographic rebalancing through strategic expansion into alternative supply regions. This initiative is projected to deliver $311,598 to $701,094 in annual cost advantages while significantly improving supply chain resilience.</w:t>
        <w:br/>
        <w:br/>
        <w:t>Implementation follows a 26-week phased approach, starting with regional supplier identification and qualification, followed by pilot allocations to validate performance.</w:t>
      </w:r>
    </w:p>
    <w:p/>
    <w:p>
      <w:pPr>
        <w:pStyle w:val="Heading2"/>
      </w:pPr>
      <w:r>
        <w:rPr>
          <w:color w:val="003366"/>
        </w:rPr>
        <w:t>🤖 AI-POWERED RISK ANALYSIS</w:t>
      </w:r>
    </w:p>
    <w:p>
      <w:pPr>
        <w:spacing w:after="240"/>
      </w:pPr>
      <w:r>
        <w:t>## Risk Analysis Narrative</w:t>
        <w:br/>
        <w:br/>
        <w:t>Based on the provided data, the most critical risk identified is the supplier concentration risk, with Olam International accounting for 25.9% of the total spend. While this concentration level is below the critical threshold of 60% defined in [SOURCE-3], it still represents a significant portion of the supply chain that could potentially lead to vulnerabilities if not managed properly. High supplier concentration can create dependency risks, which are critical in supply chain management as they can lead to disruptions if the supplier faces operational issues. According to best practices outlined in [SOURCE-2], maintaining at least 3-5 qualified suppliers for critical categories is recommended to mitigate such risks.</w:t>
        <w:br/>
        <w:br/>
        <w:t>The regional concentration risk is also noteworthy, with Singapore being the dominant region at 25.9% of the spend. Although this does not exceed the critical threshold of 40% for regional concentration [SOURCE-5], it is important to monitor this closely to prevent future risks. Geographic diversification is advised to reduce exposure to regional disruptions, as highlighted in [SOURCE-4]. This involves sourcing from multiple regions such as the Americas, Europe, and the Middle East to ensure a balanced and resilient supply chain.</w:t>
        <w:br/>
        <w:br/>
        <w:t>The business impact of these risks, if left unaddressed, could include supply chain disruptions, increased costs, and reduced flexibility in responding to market changes. Immediate attention should be given to diversifying the supplier base and exploring alternative sourcing regions to enhance supply chain resilience. By implementing dual sourcing strategies and considering suppliers from emerging markets, as suggested in [SOURCE-2], the organization can effectively balance cost efficiency with risk mitigation, ensuring long-term stability and compliance with industry best practices.</w:t>
        <w:br/>
        <w:br/>
        <w:t>---</w:t>
        <w:br/>
        <w:t>Sources: risk_assessment.txt, supplier_risk.txt, procurement_rulebook.csv</w:t>
      </w:r>
    </w:p>
    <w:p/>
    <w:p>
      <w:pPr>
        <w:pStyle w:val="Heading2"/>
      </w:pPr>
      <w:r>
        <w:rPr>
          <w:color w:val="003366"/>
        </w:rPr>
        <w:t>🤖 AI-GENERATED STRATEGIC RECOMMENDATIONS</w:t>
      </w:r>
    </w:p>
    <w:p>
      <w:pPr>
        <w:spacing w:after="240"/>
      </w:pPr>
      <w:r>
        <w:t>## STRATEGIC RECOMMENDATIONS</w:t>
        <w:br/>
        <w:br/>
        <w:t>The proposed diversification strategy aims to reduce supplier concentration risk by targeting a dominant supplier share of 40%, down from the current 25.9% held by Olam International. This aligns with best practices in supplier concentration risk management, which advocate maintaining at least 3-5 qualified suppliers for critical categories to mitigate supply chain risks [SOURCE-1]. By expanding into new regions such as China, Mexico, and Eastern Europe, the strategy leverages these areas' strengths in manufacturing scale and cost efficiency, as highlighted in the regional procurement strategy overview [SOURCE-3]. These regions are recognized for their competitive labor costs and strong infrastructure, which can contribute to cost savings ranging from 8% to 18% [SOURCE-2].</w:t>
        <w:br/>
        <w:br/>
        <w:t>The selection of China, Mexico, and Eastern Europe as new sourcing regions is strategic. China offers manufacturing scale and cost efficiency, while Mexico provides proximity to the Americas, reducing logistics costs through nearshoring [SOURCE-3]. Eastern Europe, with its focus on quality and regulatory compliance, complements the existing supplier base by enhancing the overall supply chain resilience [SOURCE-3]. This geographic diversification not only reduces exposure to regional disruptions but also aligns with the industry best practice of balancing cost efficiency with risk mitigation through dual sourcing strategies [SOURCE-1].</w:t>
        <w:br/>
        <w:br/>
        <w:t>Potential challenges in implementing this strategy include managing the complexities of new supplier qualification and ensuring compliance with regulatory requirements. To mitigate these risks, it is crucial to conduct thorough due diligence and establish robust supplier management processes. Additionally, the payback period for such diversification initiatives typically ranges from 6 to 18 months, requiring careful planning and execution to achieve the anticipated cost savings and supply chain stability [SOURCE-2]. By adhering to these strategic guidelines, the organization can enhance its procurement resilience and achieve sustainable cost efficiencies.</w:t>
        <w:br/>
        <w:br/>
        <w:t>---</w:t>
        <w:br/>
        <w:t>Sources: supplier_risk.txt, roi_calculations.txt, regional_strategy.txt</w:t>
      </w:r>
    </w:p>
    <w:p/>
    <w:p>
      <w:pPr>
        <w:pStyle w:val="Heading2"/>
      </w:pPr>
      <w:r>
        <w:rPr>
          <w:color w:val="003366"/>
        </w:rPr>
        <w:t>🤖 AI MARKET INTELLIGENCE</w:t>
      </w:r>
    </w:p>
    <w:p>
      <w:pPr>
        <w:spacing w:after="240"/>
      </w:pPr>
      <w:r>
        <w:t>## MARKET INTELLIGENCE BRIEF: RICE CATEGORY</w:t>
        <w:br/>
        <w:br/>
        <w:t>The rice category is currently influenced by several key market trends that are critical for procurement strategies. Geopolitical tensions are impacting regional sourcing decisions, necessitating a careful evaluation of supply chain resilience, which has become a board-level priority [SOURCE-2]. Additionally, sustainability requirements are increasingly shaping supplier selection processes, as companies strive to meet regulatory and consumer expectations [SOURCE-2]. The digital transformation of supply chains is enabling better supplier visibility, which can enhance decision-making and risk management capabilities [SOURCE-2].</w:t>
        <w:br/>
        <w:br/>
        <w:t>Regionally, the supply chain considerations for rice procurement are diverse. In the APAC region, countries like India, Malaysia, and Vietnam offer manufacturing scale and cost efficiency, which are advantageous for large-scale procurement [SOURCE-1]. However, the high geographic concentration of suppliers in a single region, such as APAC, poses a high risk if more than 70% of sourcing is concentrated there, necessitating diversification strategies [SOURCE-2]. In contrast, regions like Europe, represented by Belgium, focus on quality and regulatory compliance, which can be beneficial for meeting stringent quality standards [SOURCE-1]. The Americas, with countries like Argentina and Colombia, provide strong infrastructure and established supply chains, which can reduce logistics costs and improve supply chain reliability [SOURCE-1].</w:t>
        <w:br/>
        <w:br/>
        <w:t>For procurement decisions, it is crucial to balance these regional strengths with the risks identified. Diversifying suppliers across stable regions such as the Americas and Europe can mitigate geopolitical and single-source dependency risks [SOURCE-2]. Additionally, leveraging digital tools to enhance supplier visibility and compliance monitoring can further strengthen supply chain resilience and sustainability efforts [SOURCE-2].</w:t>
        <w:br/>
        <w:br/>
        <w:t>---</w:t>
        <w:br/>
        <w:t>Sources: regional_strategy.txt, risk_assessment.txt, spend_data.csv:Grains &amp; Cereals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China, Mexico, Eastern Europe</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