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RICE BRAN OIL DIVERSIFICATION</w:t>
      </w:r>
    </w:p>
    <w:p>
      <w:pPr>
        <w:jc w:val="center"/>
      </w:pPr>
      <w:r>
        <w:rPr>
          <w:i/>
          <w:sz w:val="22"/>
        </w:rPr>
        <w:t>Supplier Concentration Analysis &amp; Diversification Strategy</w:t>
      </w:r>
    </w:p>
    <w:p>
      <w:pPr>
        <w:jc w:val="center"/>
      </w:pPr>
      <w:r>
        <w:rPr>
          <w:b/>
          <w:sz w:val="24"/>
        </w:rPr>
        <w:t>Total Category Spend 2026: USD 8,160,300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2026 Original</w:t>
            </w:r>
          </w:p>
        </w:tc>
      </w:tr>
      <w:tr>
        <w:tc>
          <w:tcPr>
            <w:tcW w:type="dxa" w:w="5040"/>
          </w:tcPr>
          <w:p>
            <w:r>
              <w:rPr>
                <w:sz w:val="20"/>
              </w:rPr>
              <w:t>Supplier</w:t>
            </w:r>
          </w:p>
        </w:tc>
        <w:tc>
          <w:tcPr>
            <w:tcW w:type="dxa" w:w="5040"/>
          </w:tcPr>
          <w:p>
            <w:r>
              <w:rPr>
                <w:sz w:val="20"/>
              </w:rPr>
              <w:t>Belgium Fresh Oils Co</w:t>
            </w:r>
          </w:p>
        </w:tc>
      </w:tr>
      <w:tr>
        <w:tc>
          <w:tcPr>
            <w:tcW w:type="dxa" w:w="5040"/>
          </w:tcPr>
          <w:p>
            <w:r>
              <w:rPr>
                <w:sz w:val="20"/>
              </w:rPr>
              <w:t>Supplier Location</w:t>
            </w:r>
          </w:p>
        </w:tc>
        <w:tc>
          <w:tcPr>
            <w:tcW w:type="dxa" w:w="5040"/>
          </w:tcPr>
          <w:p>
            <w:r>
              <w:rPr>
                <w:sz w:val="20"/>
              </w:rPr>
              <w:t>Belgium</w:t>
            </w:r>
          </w:p>
        </w:tc>
      </w:tr>
      <w:tr>
        <w:tc>
          <w:tcPr>
            <w:tcW w:type="dxa" w:w="5040"/>
          </w:tcPr>
          <w:p>
            <w:r>
              <w:rPr>
                <w:sz w:val="20"/>
              </w:rPr>
              <w:t>Spend Share</w:t>
            </w:r>
          </w:p>
        </w:tc>
        <w:tc>
          <w:tcPr>
            <w:tcW w:type="dxa" w:w="5040"/>
          </w:tcPr>
          <w:p>
            <w:r>
              <w:rPr>
                <w:sz w:val="20"/>
              </w:rPr>
              <w:t>29% = USD 2,366,300</w:t>
            </w:r>
          </w:p>
        </w:tc>
      </w:tr>
      <w:tr>
        <w:tc>
          <w:tcPr>
            <w:tcW w:type="dxa" w:w="5040"/>
          </w:tcPr>
          <w:p>
            <w:r>
              <w:rPr>
                <w:sz w:val="20"/>
              </w:rPr>
              <w:t>Current Rice Bran Oil Buying from Supplier</w:t>
            </w:r>
          </w:p>
        </w:tc>
        <w:tc>
          <w:tcPr>
            <w:tcW w:type="dxa" w:w="5040"/>
          </w:tcPr>
          <w:p>
            <w:r>
              <w:rPr>
                <w:sz w:val="20"/>
              </w:rPr>
              <w:t>Yes</w:t>
            </w:r>
          </w:p>
        </w:tc>
      </w:tr>
      <w:tr>
        <w:tc>
          <w:tcPr>
            <w:tcW w:type="dxa" w:w="5040"/>
          </w:tcPr>
          <w:p>
            <w:r>
              <w:rPr>
                <w:sz w:val="20"/>
              </w:rPr>
              <w:t>Alternate Supplier for Rice Bran Oil</w:t>
            </w:r>
          </w:p>
        </w:tc>
        <w:tc>
          <w:tcPr>
            <w:tcW w:type="dxa" w:w="5040"/>
          </w:tcPr>
          <w:p>
            <w:r>
              <w:rPr>
                <w:sz w:val="20"/>
              </w:rPr>
              <w:t>None active today</w:t>
            </w:r>
          </w:p>
        </w:tc>
      </w:tr>
      <w:tr>
        <w:tc>
          <w:tcPr>
            <w:tcW w:type="dxa" w:w="5040"/>
          </w:tcPr>
          <w:p>
            <w:r>
              <w:rPr>
                <w:sz w:val="20"/>
              </w:rPr>
              <w:t>Key Risk</w:t>
            </w:r>
          </w:p>
        </w:tc>
        <w:tc>
          <w:tcPr>
            <w:tcW w:type="dxa" w:w="5040"/>
          </w:tcPr>
          <w:p>
            <w:r>
              <w:rPr>
                <w:sz w:val="20"/>
              </w:rPr>
              <w:t>Moderate concentration in Europe with 6 suppliers</w:t>
            </w:r>
          </w:p>
        </w:tc>
      </w:tr>
    </w:tbl>
    <w:p/>
    <w:p>
      <w:pPr>
        <w:pStyle w:val="Heading3"/>
      </w:pPr>
      <w:r>
        <w:rPr>
          <w:color w:val="003366"/>
        </w:rPr>
        <w:t>OVERALL RISK STATEMENT</w:t>
      </w:r>
    </w:p>
    <w:p>
      <w:pPr>
        <w:spacing w:after="240"/>
      </w:pPr>
      <w:r>
        <w:t xml:space="preserve">Our current rice bran oil procurement involves 6 suppliers, with Belgium Fresh Oils Co as the dominant supplier at 29% of total category spend (USD 2,366,300 of USD 8,160,300 in 2026). Other suppliers include: Malaya Agri Oils (26%), Borneo Nutrients (18%), Ricela Health Foods (14%). All suppliers operate from Belgium. There are no other qualified Rice Bran Oil suppliers in our approved supplier database. New supplier qualification will be required for diversification. </w:t>
        <w:br/>
        <w:br/>
        <w:t>This creates a geographic concentration risk. It is recommended to identify and activate alternate suppliers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Belgium Fresh Oils Co</w:t>
            </w:r>
          </w:p>
        </w:tc>
        <w:tc>
          <w:tcPr>
            <w:tcW w:type="dxa" w:w="2520"/>
          </w:tcPr>
          <w:p>
            <w:r>
              <w:rPr>
                <w:sz w:val="20"/>
              </w:rPr>
              <w:t>29%</w:t>
            </w:r>
          </w:p>
        </w:tc>
        <w:tc>
          <w:tcPr>
            <w:tcW w:type="dxa" w:w="2520"/>
          </w:tcPr>
          <w:p>
            <w:r>
              <w:rPr>
                <w:sz w:val="20"/>
              </w:rPr>
              <w:t>40%</w:t>
            </w:r>
          </w:p>
        </w:tc>
        <w:tc>
          <w:tcPr>
            <w:tcW w:type="dxa" w:w="2520"/>
          </w:tcPr>
          <w:p>
            <w:r>
              <w:rPr>
                <w:sz w:val="20"/>
              </w:rPr>
              <w:t>29% → 40% = -37.9% reduction</w:t>
            </w:r>
          </w:p>
        </w:tc>
      </w:tr>
      <w:tr>
        <w:tc>
          <w:tcPr>
            <w:tcW w:type="dxa" w:w="2520"/>
          </w:tcPr>
          <w:p>
            <w:r>
              <w:rPr>
                <w:sz w:val="20"/>
              </w:rPr>
              <w:t>New Alternate Supplier</w:t>
            </w:r>
          </w:p>
        </w:tc>
        <w:tc>
          <w:tcPr>
            <w:tcW w:type="dxa" w:w="2520"/>
          </w:tcPr>
          <w:p>
            <w:r>
              <w:rPr>
                <w:sz w:val="20"/>
              </w:rPr>
              <w:t>0%</w:t>
            </w:r>
          </w:p>
        </w:tc>
        <w:tc>
          <w:tcPr>
            <w:tcW w:type="dxa" w:w="2520"/>
          </w:tcPr>
          <w:p>
            <w:r>
              <w:rPr>
                <w:sz w:val="20"/>
              </w:rPr>
              <w:t>10%</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Net Reduction</w:t>
            </w:r>
          </w:p>
        </w:tc>
      </w:tr>
      <w:tr>
        <w:tc>
          <w:tcPr>
            <w:tcW w:type="dxa" w:w="2520"/>
          </w:tcPr>
          <w:p>
            <w:r>
              <w:rPr>
                <w:sz w:val="20"/>
              </w:rPr>
              <w:t>Southeast Asia Supply Corridor</w:t>
            </w:r>
          </w:p>
        </w:tc>
        <w:tc>
          <w:tcPr>
            <w:tcW w:type="dxa" w:w="2520"/>
          </w:tcPr>
          <w:p>
            <w:r>
              <w:rPr>
                <w:sz w:val="20"/>
              </w:rPr>
              <w:t>44%</w:t>
            </w:r>
          </w:p>
        </w:tc>
        <w:tc>
          <w:tcPr>
            <w:tcW w:type="dxa" w:w="2520"/>
          </w:tcPr>
          <w:p>
            <w:r>
              <w:rPr>
                <w:sz w:val="20"/>
              </w:rPr>
              <w:t>40–50%</w:t>
            </w:r>
          </w:p>
        </w:tc>
        <w:tc>
          <w:tcPr>
            <w:tcW w:type="dxa" w:w="2520"/>
          </w:tcPr>
          <w:p>
            <w:r>
              <w:rPr>
                <w:sz w:val="20"/>
              </w:rPr>
              <w:t>-6–4%</w:t>
            </w:r>
          </w:p>
        </w:tc>
      </w:tr>
    </w:tbl>
    <w:p/>
    <w:p>
      <w:pPr>
        <w:pStyle w:val="Heading2"/>
      </w:pPr>
      <w:r>
        <w:rPr>
          <w:color w:val="003366"/>
        </w:rPr>
        <w:t>COST ADVANTAGE PROJECTION FROM ADDING NEW ALTERNATE SUPPLIER INTO RICE BRAN OIL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New Alternate Supplier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India</w:t>
            </w:r>
          </w:p>
        </w:tc>
        <w:tc>
          <w:tcPr>
            <w:tcW w:type="dxa" w:w="3360"/>
          </w:tcPr>
          <w:p>
            <w:r>
              <w:rPr>
                <w:sz w:val="20"/>
              </w:rPr>
              <w:t>Lower raw material input costs + scaling extraction infrastructure</w:t>
            </w:r>
          </w:p>
        </w:tc>
        <w:tc>
          <w:tcPr>
            <w:tcW w:type="dxa" w:w="3360"/>
          </w:tcPr>
          <w:p>
            <w:r>
              <w:rPr>
                <w:sz w:val="20"/>
              </w:rPr>
              <w:t>$97,924 – $244,809</w:t>
            </w:r>
          </w:p>
        </w:tc>
      </w:tr>
      <w:tr>
        <w:tc>
          <w:tcPr>
            <w:tcW w:type="dxa" w:w="3360"/>
          </w:tcPr>
          <w:p>
            <w:r>
              <w:rPr>
                <w:sz w:val="20"/>
              </w:rPr>
              <w:t>Thailand</w:t>
            </w:r>
          </w:p>
        </w:tc>
        <w:tc>
          <w:tcPr>
            <w:tcW w:type="dxa" w:w="3360"/>
          </w:tcPr>
          <w:p>
            <w:r>
              <w:rPr>
                <w:sz w:val="20"/>
              </w:rPr>
              <w:t>Port efficiency + strong processing ecosystem</w:t>
            </w:r>
          </w:p>
        </w:tc>
        <w:tc>
          <w:tcPr>
            <w:tcW w:type="dxa" w:w="3360"/>
          </w:tcPr>
          <w:p>
            <w:r>
              <w:rPr>
                <w:sz w:val="20"/>
              </w:rPr>
              <w:t>$97,924 – $244,809</w:t>
            </w:r>
          </w:p>
        </w:tc>
      </w:tr>
      <w:tr>
        <w:tc>
          <w:tcPr>
            <w:tcW w:type="dxa" w:w="3360"/>
          </w:tcPr>
          <w:p>
            <w:r>
              <w:rPr>
                <w:sz w:val="20"/>
              </w:rPr>
              <w:t>Indonesia</w:t>
            </w:r>
          </w:p>
        </w:tc>
        <w:tc>
          <w:tcPr>
            <w:tcW w:type="dxa" w:w="3360"/>
          </w:tcPr>
          <w:p>
            <w:r>
              <w:rPr>
                <w:sz w:val="20"/>
              </w:rPr>
              <w:t>High production capacity + efficient supply chains</w:t>
            </w:r>
          </w:p>
        </w:tc>
        <w:tc>
          <w:tcPr>
            <w:tcW w:type="dxa" w:w="3360"/>
          </w:tcPr>
          <w:p>
            <w:r>
              <w:rPr>
                <w:sz w:val="20"/>
              </w:rPr>
              <w:t>$97,924 – $244,809</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$293,772 – $734,427</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MEDIUM</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HIGH</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LOW</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2.0/4.0</w:t>
            </w:r>
          </w:p>
        </w:tc>
        <w:tc>
          <w:tcPr>
            <w:tcW w:type="dxa" w:w="3360"/>
          </w:tcPr>
          <w:p>
            <w:r>
              <w:rPr>
                <w:sz w:val="20"/>
              </w:rPr>
              <w:t>MEDIUM</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$293,772 – $734,427</w:t>
            </w:r>
          </w:p>
        </w:tc>
      </w:tr>
      <w:tr>
        <w:tc>
          <w:tcPr>
            <w:tcW w:type="dxa" w:w="5040"/>
          </w:tcPr>
          <w:p>
            <w:r>
              <w:rPr>
                <w:sz w:val="20"/>
              </w:rPr>
              <w:t>Risk Reduction Value</w:t>
            </w:r>
          </w:p>
        </w:tc>
        <w:tc>
          <w:tcPr>
            <w:tcW w:type="dxa" w:w="5040"/>
          </w:tcPr>
          <w:p>
            <w:r>
              <w:rPr>
                <w:sz w:val="20"/>
              </w:rPr>
              <w:t>$-2,448</w:t>
            </w:r>
          </w:p>
        </w:tc>
      </w:tr>
      <w:tr>
        <w:tc>
          <w:tcPr>
            <w:tcW w:type="dxa" w:w="5040"/>
          </w:tcPr>
          <w:p>
            <w:r>
              <w:rPr>
                <w:sz w:val="20"/>
              </w:rPr>
              <w:t>Implementation Cost</w:t>
            </w:r>
          </w:p>
        </w:tc>
        <w:tc>
          <w:tcPr>
            <w:tcW w:type="dxa" w:w="5040"/>
          </w:tcPr>
          <w:p>
            <w:r>
              <w:rPr>
                <w:sz w:val="20"/>
              </w:rPr>
              <w:t>$163,206</w:t>
            </w:r>
          </w:p>
        </w:tc>
      </w:tr>
      <w:tr>
        <w:tc>
          <w:tcPr>
            <w:tcW w:type="dxa" w:w="5040"/>
          </w:tcPr>
          <w:p>
            <w:r>
              <w:rPr>
                <w:sz w:val="20"/>
              </w:rPr>
              <w:t>ROI (First Year)</w:t>
            </w:r>
          </w:p>
        </w:tc>
        <w:tc>
          <w:tcPr>
            <w:tcW w:type="dxa" w:w="5040"/>
          </w:tcPr>
          <w:p>
            <w:r>
              <w:rPr>
                <w:sz w:val="20"/>
              </w:rPr>
              <w:t>78% – 348%</w:t>
            </w:r>
          </w:p>
        </w:tc>
      </w:tr>
      <w:tr>
        <w:tc>
          <w:tcPr>
            <w:tcW w:type="dxa" w:w="5040"/>
          </w:tcPr>
          <w:p>
            <w:r>
              <w:rPr>
                <w:sz w:val="20"/>
              </w:rPr>
              <w:t>Payback Period</w:t>
            </w:r>
          </w:p>
        </w:tc>
        <w:tc>
          <w:tcPr>
            <w:tcW w:type="dxa" w:w="5040"/>
          </w:tcPr>
          <w:p>
            <w:r>
              <w:rPr>
                <w:sz w:val="20"/>
              </w:rPr>
              <w:t>2.7 – 6.7 months</w:t>
            </w:r>
          </w:p>
        </w:tc>
      </w:tr>
      <w:tr>
        <w:tc>
          <w:tcPr>
            <w:tcW w:type="dxa" w:w="5040"/>
          </w:tcPr>
          <w:p>
            <w:r>
              <w:rPr>
                <w:sz w:val="20"/>
              </w:rPr>
              <w:t>3-Year Net Benefit</w:t>
            </w:r>
          </w:p>
        </w:tc>
        <w:tc>
          <w:tcPr>
            <w:tcW w:type="dxa" w:w="5040"/>
          </w:tcPr>
          <w:p>
            <w:r>
              <w:rPr>
                <w:sz w:val="20"/>
              </w:rPr>
              <w:t>$710,766 – $2,032,731</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Malaya Agri Oils</w:t>
            </w:r>
          </w:p>
        </w:tc>
        <w:tc>
          <w:tcPr>
            <w:tcW w:type="dxa" w:w="2016"/>
          </w:tcPr>
          <w:p>
            <w:r>
              <w:rPr>
                <w:sz w:val="20"/>
              </w:rPr>
              <w:t>$2,140,200</w:t>
            </w:r>
          </w:p>
        </w:tc>
        <w:tc>
          <w:tcPr>
            <w:tcW w:type="dxa" w:w="2016"/>
          </w:tcPr>
          <w:p>
            <w:r>
              <w:rPr>
                <w:sz w:val="20"/>
              </w:rPr>
              <w:t>4.5/5.0</w:t>
            </w:r>
          </w:p>
        </w:tc>
        <w:tc>
          <w:tcPr>
            <w:tcW w:type="dxa" w:w="2016"/>
          </w:tcPr>
          <w:p>
            <w:r>
              <w:rPr>
                <w:sz w:val="20"/>
              </w:rPr>
              <w:t>86%</w:t>
            </w:r>
          </w:p>
        </w:tc>
        <w:tc>
          <w:tcPr>
            <w:tcW w:type="dxa" w:w="2016"/>
          </w:tcPr>
          <w:p>
            <w:r>
              <w:rPr>
                <w:sz w:val="20"/>
              </w:rPr>
              <w:t>8.0/10</w:t>
            </w:r>
          </w:p>
        </w:tc>
      </w:tr>
      <w:tr>
        <w:tc>
          <w:tcPr>
            <w:tcW w:type="dxa" w:w="2016"/>
          </w:tcPr>
          <w:p>
            <w:r>
              <w:rPr>
                <w:sz w:val="20"/>
              </w:rPr>
              <w:t>Ricela Health Foods</w:t>
            </w:r>
          </w:p>
        </w:tc>
        <w:tc>
          <w:tcPr>
            <w:tcW w:type="dxa" w:w="2016"/>
          </w:tcPr>
          <w:p>
            <w:r>
              <w:rPr>
                <w:sz w:val="20"/>
              </w:rPr>
              <w:t>$1,186,300</w:t>
            </w:r>
          </w:p>
        </w:tc>
        <w:tc>
          <w:tcPr>
            <w:tcW w:type="dxa" w:w="2016"/>
          </w:tcPr>
          <w:p>
            <w:r>
              <w:rPr>
                <w:sz w:val="20"/>
              </w:rPr>
              <w:t>4.2/5.0</w:t>
            </w:r>
          </w:p>
        </w:tc>
        <w:tc>
          <w:tcPr>
            <w:tcW w:type="dxa" w:w="2016"/>
          </w:tcPr>
          <w:p>
            <w:r>
              <w:rPr>
                <w:sz w:val="20"/>
              </w:rPr>
              <w:t>79%</w:t>
            </w:r>
          </w:p>
        </w:tc>
        <w:tc>
          <w:tcPr>
            <w:tcW w:type="dxa" w:w="2016"/>
          </w:tcPr>
          <w:p>
            <w:r>
              <w:rPr>
                <w:sz w:val="20"/>
              </w:rPr>
              <w:t>8.0/10</w:t>
            </w:r>
          </w:p>
        </w:tc>
      </w:tr>
      <w:tr>
        <w:tc>
          <w:tcPr>
            <w:tcW w:type="dxa" w:w="2016"/>
          </w:tcPr>
          <w:p>
            <w:r>
              <w:rPr>
                <w:sz w:val="20"/>
              </w:rPr>
              <w:t>Borneo Nutrients</w:t>
            </w:r>
          </w:p>
        </w:tc>
        <w:tc>
          <w:tcPr>
            <w:tcW w:type="dxa" w:w="2016"/>
          </w:tcPr>
          <w:p>
            <w:r>
              <w:rPr>
                <w:sz w:val="20"/>
              </w:rPr>
              <w:t>$1,479,600</w:t>
            </w:r>
          </w:p>
        </w:tc>
        <w:tc>
          <w:tcPr>
            <w:tcW w:type="dxa" w:w="2016"/>
          </w:tcPr>
          <w:p>
            <w:r>
              <w:rPr>
                <w:sz w:val="20"/>
              </w:rPr>
              <w:t>4.2/5.0</w:t>
            </w:r>
          </w:p>
        </w:tc>
        <w:tc>
          <w:tcPr>
            <w:tcW w:type="dxa" w:w="2016"/>
          </w:tcPr>
          <w:p>
            <w:r>
              <w:rPr>
                <w:sz w:val="20"/>
              </w:rPr>
              <w:t>81%</w:t>
            </w:r>
          </w:p>
        </w:tc>
        <w:tc>
          <w:tcPr>
            <w:tcW w:type="dxa" w:w="2016"/>
          </w:tcPr>
          <w:p>
            <w:r>
              <w:rPr>
                <w:sz w:val="20"/>
              </w:rPr>
              <w:t>8.0/10</w:t>
            </w:r>
          </w:p>
        </w:tc>
      </w:tr>
      <w:tr>
        <w:tc>
          <w:tcPr>
            <w:tcW w:type="dxa" w:w="2016"/>
          </w:tcPr>
          <w:p>
            <w:r>
              <w:rPr>
                <w:sz w:val="20"/>
              </w:rPr>
              <w:t>Belgium Fresh Oils Co</w:t>
            </w:r>
          </w:p>
        </w:tc>
        <w:tc>
          <w:tcPr>
            <w:tcW w:type="dxa" w:w="2016"/>
          </w:tcPr>
          <w:p>
            <w:r>
              <w:rPr>
                <w:sz w:val="20"/>
              </w:rPr>
              <w:t>$2,366,300</w:t>
            </w:r>
          </w:p>
        </w:tc>
        <w:tc>
          <w:tcPr>
            <w:tcW w:type="dxa" w:w="2016"/>
          </w:tcPr>
          <w:p>
            <w:r>
              <w:rPr>
                <w:sz w:val="20"/>
              </w:rPr>
              <w:t>4.9/5.0</w:t>
            </w:r>
          </w:p>
        </w:tc>
        <w:tc>
          <w:tcPr>
            <w:tcW w:type="dxa" w:w="2016"/>
          </w:tcPr>
          <w:p>
            <w:r>
              <w:rPr>
                <w:sz w:val="20"/>
              </w:rPr>
              <w:t>83%</w:t>
            </w:r>
          </w:p>
        </w:tc>
        <w:tc>
          <w:tcPr>
            <w:tcW w:type="dxa" w:w="2016"/>
          </w:tcPr>
          <w:p>
            <w:r>
              <w:rPr>
                <w:sz w:val="20"/>
              </w:rPr>
              <w:t>8.3/10</w:t>
            </w:r>
          </w:p>
        </w:tc>
      </w:tr>
      <w:tr>
        <w:tc>
          <w:tcPr>
            <w:tcW w:type="dxa" w:w="2016"/>
          </w:tcPr>
          <w:p>
            <w:r>
              <w:rPr>
                <w:sz w:val="20"/>
              </w:rPr>
              <w:t>Thai Rice Oil Co</w:t>
            </w:r>
          </w:p>
        </w:tc>
        <w:tc>
          <w:tcPr>
            <w:tcW w:type="dxa" w:w="2016"/>
          </w:tcPr>
          <w:p>
            <w:r>
              <w:rPr>
                <w:sz w:val="20"/>
              </w:rPr>
              <w:t>$524,400</w:t>
            </w:r>
          </w:p>
        </w:tc>
        <w:tc>
          <w:tcPr>
            <w:tcW w:type="dxa" w:w="2016"/>
          </w:tcPr>
          <w:p>
            <w:r>
              <w:rPr>
                <w:sz w:val="20"/>
              </w:rPr>
              <w:t>4.4/5.0</w:t>
            </w:r>
          </w:p>
        </w:tc>
        <w:tc>
          <w:tcPr>
            <w:tcW w:type="dxa" w:w="2016"/>
          </w:tcPr>
          <w:p>
            <w:r>
              <w:rPr>
                <w:sz w:val="20"/>
              </w:rPr>
              <w:t>90%</w:t>
            </w:r>
          </w:p>
        </w:tc>
        <w:tc>
          <w:tcPr>
            <w:tcW w:type="dxa" w:w="2016"/>
          </w:tcPr>
          <w:p>
            <w:r>
              <w:rPr>
                <w:sz w:val="20"/>
              </w:rPr>
              <w:t>8.0/10</w:t>
            </w:r>
          </w:p>
        </w:tc>
      </w:tr>
    </w:tbl>
    <w:p/>
    <w:p>
      <w:pPr>
        <w:pStyle w:val="Heading2"/>
      </w:pPr>
      <w:r>
        <w:rPr>
          <w:color w:val="003366"/>
        </w:rPr>
        <w:t>RULE COMPLIANCE STATUS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Value</w:t>
            </w:r>
          </w:p>
        </w:tc>
      </w:tr>
      <w:tr>
        <w:tc>
          <w:tcPr>
            <w:tcW w:type="dxa" w:w="5040"/>
          </w:tcPr>
          <w:p>
            <w:r>
              <w:rPr>
                <w:sz w:val="20"/>
              </w:rPr>
              <w:t>Overall Status</w:t>
            </w:r>
          </w:p>
        </w:tc>
        <w:tc>
          <w:tcPr>
            <w:tcW w:type="dxa" w:w="5040"/>
          </w:tcPr>
          <w:p>
            <w:r>
              <w:rPr>
                <w:sz w:val="20"/>
              </w:rPr>
              <w:t>CRITICAL</w:t>
            </w:r>
          </w:p>
        </w:tc>
      </w:tr>
      <w:tr>
        <w:tc>
          <w:tcPr>
            <w:tcW w:type="dxa" w:w="5040"/>
          </w:tcPr>
          <w:p>
            <w:r>
              <w:rPr>
                <w:sz w:val="20"/>
              </w:rPr>
              <w:t>Total Violations</w:t>
            </w:r>
          </w:p>
        </w:tc>
        <w:tc>
          <w:tcPr>
            <w:tcW w:type="dxa" w:w="5040"/>
          </w:tcPr>
          <w:p>
            <w:r>
              <w:rPr>
                <w:sz w:val="20"/>
              </w:rPr>
              <w:t>10</w:t>
            </w:r>
          </w:p>
        </w:tc>
      </w:tr>
      <w:tr>
        <w:tc>
          <w:tcPr>
            <w:tcW w:type="dxa" w:w="5040"/>
          </w:tcPr>
          <w:p>
            <w:r>
              <w:rPr>
                <w:sz w:val="20"/>
              </w:rPr>
              <w:t>Total Warnings</w:t>
            </w:r>
          </w:p>
        </w:tc>
        <w:tc>
          <w:tcPr>
            <w:tcW w:type="dxa" w:w="5040"/>
          </w:tcPr>
          <w:p>
            <w:r>
              <w:rPr>
                <w:sz w:val="20"/>
              </w:rPr>
              <w:t>0</w:t>
            </w:r>
          </w:p>
        </w:tc>
      </w:tr>
      <w:tr>
        <w:tc>
          <w:tcPr>
            <w:tcW w:type="dxa" w:w="5040"/>
          </w:tcPr>
          <w:p>
            <w:r>
              <w:rPr>
                <w:sz w:val="20"/>
              </w:rPr>
              <w:t>Compliance Rate</w:t>
            </w:r>
          </w:p>
        </w:tc>
        <w:tc>
          <w:tcPr>
            <w:tcW w:type="dxa" w:w="5040"/>
          </w:tcPr>
          <w:p>
            <w:r>
              <w:rPr>
                <w:sz w:val="20"/>
              </w:rPr>
              <w:t>71%</w:t>
            </w:r>
          </w:p>
        </w:tc>
      </w:tr>
    </w:tbl>
    <w:p/>
    <w:p>
      <w:r>
        <w:rPr>
          <w:b/>
        </w:rPr>
        <w:t>Violations Detected:</w:t>
      </w:r>
    </w:p>
    <w:p>
      <w:pPr>
        <w:pStyle w:val="ListBullet"/>
      </w:pPr>
      <w:r>
        <w:t>R001: Regional Concentration</w:t>
      </w:r>
    </w:p>
    <w:p>
      <w:pPr>
        <w:pStyle w:val="ListBullet"/>
      </w:pPr>
      <w:r>
        <w:t>R008: Delivery Performance</w:t>
      </w:r>
    </w:p>
    <w:p>
      <w:pPr>
        <w:pStyle w:val="ListBullet"/>
      </w:pPr>
      <w:r>
        <w:t>R012: Minimum Order Quantity</w:t>
      </w:r>
    </w:p>
    <w:p>
      <w:pPr>
        <w:pStyle w:val="ListBullet"/>
      </w:pPr>
      <w:r>
        <w:t>R015: Diverse Supplier Spend</w:t>
      </w:r>
    </w:p>
    <w:p>
      <w:pPr>
        <w:pStyle w:val="ListBullet"/>
      </w:pPr>
      <w:r>
        <w:t>R016: Innovation Supplier Ratio</w:t>
      </w:r>
    </w:p>
    <w:p/>
    <w:p>
      <w:pPr>
        <w:pStyle w:val="Heading2"/>
      </w:pPr>
      <w:r>
        <w:rPr>
          <w:color w:val="003366"/>
        </w:rPr>
        <w:t>STRATEGIC OUTCOME</w:t>
      </w:r>
    </w:p>
    <w:p>
      <w:pPr>
        <w:pStyle w:val="ListBullet"/>
      </w:pPr>
      <w:r>
        <w:t>Reduce single-supplier concentration from 29% to 40% in Phase 1</w:t>
      </w:r>
    </w:p>
    <w:p>
      <w:pPr>
        <w:pStyle w:val="ListBullet"/>
      </w:pPr>
      <w:r>
        <w:t>Activate 10% of spend via new qualified suppliers with multi-region presence</w:t>
      </w:r>
    </w:p>
    <w:p>
      <w:pPr>
        <w:pStyle w:val="ListBullet"/>
      </w:pPr>
      <w:r>
        <w:t>Improve pricing leverage through supplier competition</w:t>
      </w:r>
    </w:p>
    <w:p>
      <w:pPr>
        <w:pStyle w:val="ListBullet"/>
      </w:pPr>
      <w:r>
        <w:t>Reduce southeast asia supply corridor risk by ~-6%</w:t>
      </w:r>
    </w:p>
    <w:p>
      <w:pPr>
        <w:pStyle w:val="ListBullet"/>
      </w:pPr>
      <w:r>
        <w:t>Achieve estimated annual cost advantage of USD 293,772–734,427 while improving supply continuity</w:t>
      </w:r>
    </w:p>
    <w:p/>
    <w:p>
      <w:pPr>
        <w:pStyle w:val="Heading2"/>
      </w:pPr>
      <w:r>
        <w:rPr>
          <w:color w:val="003366"/>
        </w:rPr>
        <w:t>WHY THIS MATTERS</w:t>
      </w:r>
    </w:p>
    <w:p>
      <w:r>
        <w:t xml:space="preserve">This analysis reveals a moderate supplier concentration issue in Rice Bran Oil. With 29% of spend concentrated with one supplier, the organization faces significant vulnerability to supply disruptions, limited negotiating leverage, and reduced ability to respond to market changes. </w:t>
        <w:br/>
        <w:br/>
        <w:t>This matters because: (1) Supply chain resilience is now a board-level priority, (2) Procurement concentration directly impacts business continuity risk profiles, (3) Diversification typically yields 5-15% cost improvements through competitive pressure, and (4) opportunity for optimization to maintain competitive procurement operations.</w:t>
      </w:r>
    </w:p>
    <w:p/>
    <w:p>
      <w:pPr>
        <w:pStyle w:val="Heading2"/>
      </w:pPr>
      <w:r>
        <w:rPr>
          <w:color w:val="003366"/>
        </w:rPr>
        <w:t>BUSINESS JUSTIFICATION</w:t>
      </w:r>
    </w:p>
    <w:p>
      <w:r>
        <w:t>BUSINESS CASE JUSTIFICATION:</w:t>
        <w:br/>
        <w:br/>
        <w:t>1. FINANCIAL RETURN: The proposed diversification is projected to deliver $293,772 to $734,427 in annual cost savings, representing a 78%-348% ROI on the estimated $163,206 implementation investment.</w:t>
        <w:br/>
        <w:br/>
        <w:t>2. RISK MITIGATION: Current risk level is rated MEDIUM. Reducing concentration by -11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 REASONING:</w:t>
        <w:br/>
        <w:br/>
        <w:t>• SUPPLIER RISK (MODERATE): At 29% concentration, there is opportunity to further balance the supplier portfolio.</w:t>
        <w:br/>
        <w:br/>
      </w:r>
    </w:p>
    <w:p/>
    <w:p>
      <w:pPr>
        <w:pStyle w:val="Heading2"/>
      </w:pPr>
      <w:r>
        <w:rPr>
          <w:color w:val="003366"/>
        </w:rPr>
        <w:t>RECOMMENDATION RATIONALE</w:t>
      </w:r>
    </w:p>
    <w:p>
      <w:r>
        <w:t>RECOMMENDATION RATIONALE:</w:t>
        <w:br/>
        <w:br/>
        <w:t>The recommended diversification strategy is based on:</w:t>
        <w:br/>
        <w:br/>
        <w:t>1. IDENTIFY ALTERNATE SUPPLIERS: New supplier qualification should prioritize candidates with existing certifications, proven track records, and geographic diversity from current sources.</w:t>
        <w:br/>
        <w:br/>
        <w:t xml:space="preserve">2. REGIONAL DIVERSIFICATION TO INDIA, THAILAND: These regions are identified as optimal for Rice Bran Oil based on: </w:t>
        <w:br/>
        <w:t xml:space="preserve">   • India: Lower raw material input costs + scaling extraction infrastructure</w:t>
        <w:br/>
        <w:t xml:space="preserve">   • Thailand: Port efficiency + strong processing ecosystem</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Activate rice bran oil with qualified alternate suppliers</w:t>
      </w:r>
    </w:p>
    <w:p>
      <w:r>
        <w:t>2. Initiate 8–12 week pilot allocations</w:t>
      </w:r>
    </w:p>
    <w:p>
      <w:r>
        <w:t>3. Benchmark pricing and delivery quarterly</w:t>
      </w:r>
    </w:p>
    <w:p>
      <w:r>
        <w:t>4. 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