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BRAN OIL DIVERSIFICATION</w:t>
      </w:r>
    </w:p>
    <w:p>
      <w:pPr>
        <w:jc w:val="center"/>
      </w:pPr>
      <w:r>
        <w:rPr>
          <w:i/>
          <w:sz w:val="22"/>
        </w:rPr>
        <w:t>Supplier Concentration Analysis &amp; Diversification Strategy</w:t>
      </w:r>
    </w:p>
    <w:p>
      <w:pPr>
        <w:jc w:val="center"/>
      </w:pPr>
      <w:r>
        <w:rPr>
          <w:b/>
          <w:sz w:val="24"/>
        </w:rPr>
        <w:t>Total Category Spend 2026: USD 8,160,300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Belgium Fresh Oils Co</w:t>
            </w:r>
          </w:p>
        </w:tc>
      </w:tr>
      <w:tr>
        <w:tc>
          <w:tcPr>
            <w:tcW w:type="dxa" w:w="5040"/>
          </w:tcPr>
          <w:p>
            <w:r>
              <w:rPr>
                <w:sz w:val="20"/>
              </w:rPr>
              <w:t>Supplier Location</w:t>
            </w:r>
          </w:p>
        </w:tc>
        <w:tc>
          <w:tcPr>
            <w:tcW w:type="dxa" w:w="5040"/>
          </w:tcPr>
          <w:p>
            <w:r>
              <w:rPr>
                <w:sz w:val="20"/>
              </w:rPr>
              <w:t>Belgium</w:t>
            </w:r>
          </w:p>
        </w:tc>
      </w:tr>
      <w:tr>
        <w:tc>
          <w:tcPr>
            <w:tcW w:type="dxa" w:w="5040"/>
          </w:tcPr>
          <w:p>
            <w:r>
              <w:rPr>
                <w:sz w:val="20"/>
              </w:rPr>
              <w:t>Spend Share</w:t>
            </w:r>
          </w:p>
        </w:tc>
        <w:tc>
          <w:tcPr>
            <w:tcW w:type="dxa" w:w="5040"/>
          </w:tcPr>
          <w:p>
            <w:r>
              <w:rPr>
                <w:sz w:val="20"/>
              </w:rPr>
              <w:t>29% = USD 2,366,300</w:t>
            </w:r>
          </w:p>
        </w:tc>
      </w:tr>
      <w:tr>
        <w:tc>
          <w:tcPr>
            <w:tcW w:type="dxa" w:w="5040"/>
          </w:tcPr>
          <w:p>
            <w:r>
              <w:rPr>
                <w:sz w:val="20"/>
              </w:rPr>
              <w:t>Current Rice Bran Oil Buying from Supplier</w:t>
            </w:r>
          </w:p>
        </w:tc>
        <w:tc>
          <w:tcPr>
            <w:tcW w:type="dxa" w:w="5040"/>
          </w:tcPr>
          <w:p>
            <w:r>
              <w:rPr>
                <w:sz w:val="20"/>
              </w:rPr>
              <w:t>Yes</w:t>
            </w:r>
          </w:p>
        </w:tc>
      </w:tr>
      <w:tr>
        <w:tc>
          <w:tcPr>
            <w:tcW w:type="dxa" w:w="5040"/>
          </w:tcPr>
          <w:p>
            <w:r>
              <w:rPr>
                <w:sz w:val="20"/>
              </w:rPr>
              <w:t>Alternate Supplier for Rice Bran Oil</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Europe with 6 suppliers</w:t>
            </w:r>
          </w:p>
        </w:tc>
      </w:tr>
    </w:tbl>
    <w:p/>
    <w:p>
      <w:pPr>
        <w:pStyle w:val="Heading3"/>
      </w:pPr>
      <w:r>
        <w:rPr>
          <w:color w:val="003366"/>
        </w:rPr>
        <w:t>OVERALL RISK STATEMENT</w:t>
      </w:r>
    </w:p>
    <w:p>
      <w:pPr>
        <w:spacing w:after="240"/>
      </w:pPr>
      <w:r>
        <w:t xml:space="preserve">Our current rice bran oil procurement involves 6 suppliers, with Belgium Fresh Oils Co as the dominant supplier at 29% of total category spend (USD 2,366,300 of USD 8,160,300 in 2026). Other suppliers include: Malaya Agri Oils (26%), Borneo Nutrients (18%), Ricela Health Foods (15%). All suppliers operate from Belgium. We do not have alternate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Belgium Fresh Oils Co</w:t>
            </w:r>
          </w:p>
        </w:tc>
        <w:tc>
          <w:tcPr>
            <w:tcW w:type="dxa" w:w="2520"/>
          </w:tcPr>
          <w:p>
            <w:r>
              <w:rPr>
                <w:sz w:val="20"/>
              </w:rPr>
              <w:t>29%</w:t>
            </w:r>
          </w:p>
        </w:tc>
        <w:tc>
          <w:tcPr>
            <w:tcW w:type="dxa" w:w="2520"/>
          </w:tcPr>
          <w:p>
            <w:r>
              <w:rPr>
                <w:sz w:val="20"/>
              </w:rPr>
              <w:t>40%</w:t>
            </w:r>
          </w:p>
        </w:tc>
        <w:tc>
          <w:tcPr>
            <w:tcW w:type="dxa" w:w="2520"/>
          </w:tcPr>
          <w:p>
            <w:r>
              <w:rPr>
                <w:sz w:val="20"/>
              </w:rPr>
              <w:t>29% -&gt; 40% = -37.9%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44%</w:t>
            </w:r>
          </w:p>
        </w:tc>
        <w:tc>
          <w:tcPr>
            <w:tcW w:type="dxa" w:w="2520"/>
          </w:tcPr>
          <w:p>
            <w:r>
              <w:rPr>
                <w:sz w:val="20"/>
              </w:rPr>
              <w:t>44-44%</w:t>
            </w:r>
          </w:p>
        </w:tc>
        <w:tc>
          <w:tcPr>
            <w:tcW w:type="dxa" w:w="2520"/>
          </w:tcPr>
          <w:p>
            <w:r>
              <w:rPr>
                <w:sz w:val="20"/>
              </w:rPr>
              <w:t>0-0%</w:t>
            </w:r>
          </w:p>
        </w:tc>
      </w:tr>
    </w:tbl>
    <w:p/>
    <w:p>
      <w:pPr>
        <w:pStyle w:val="Heading2"/>
      </w:pPr>
      <w:r>
        <w:rPr>
          <w:color w:val="003366"/>
        </w:rPr>
        <w:t>COST ADVANTAGE PROJECTION FROM ADDING NEW ALTERNATE SUPPLIER INTO RICE BRAN OIL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Indonesia</w:t>
            </w:r>
          </w:p>
        </w:tc>
        <w:tc>
          <w:tcPr>
            <w:tcW w:type="dxa" w:w="3360"/>
          </w:tcPr>
          <w:p>
            <w:r>
              <w:rPr>
                <w:sz w:val="20"/>
              </w:rPr>
              <w:t>High production capacity + efficient supply chains</w:t>
            </w:r>
          </w:p>
        </w:tc>
        <w:tc>
          <w:tcPr>
            <w:tcW w:type="dxa" w:w="3360"/>
          </w:tcPr>
          <w:p>
            <w:r>
              <w:rPr>
                <w:sz w:val="20"/>
              </w:rPr>
              <w:t>$97,924 – $244,809</w:t>
            </w:r>
          </w:p>
        </w:tc>
      </w:tr>
      <w:tr>
        <w:tc>
          <w:tcPr>
            <w:tcW w:type="dxa" w:w="3360"/>
          </w:tcPr>
          <w:p>
            <w:r>
              <w:rPr>
                <w:sz w:val="20"/>
              </w:rPr>
              <w:t>Vietnam</w:t>
            </w:r>
          </w:p>
        </w:tc>
        <w:tc>
          <w:tcPr>
            <w:tcW w:type="dxa" w:w="3360"/>
          </w:tcPr>
          <w:p>
            <w:r>
              <w:rPr>
                <w:sz w:val="20"/>
              </w:rPr>
              <w:t>Competitive labor costs + growing export infrastructure</w:t>
            </w:r>
          </w:p>
        </w:tc>
        <w:tc>
          <w:tcPr>
            <w:tcW w:type="dxa" w:w="3360"/>
          </w:tcPr>
          <w:p>
            <w:r>
              <w:rPr>
                <w:sz w:val="20"/>
              </w:rPr>
              <w:t>$97,924 – $244,809</w:t>
            </w:r>
          </w:p>
        </w:tc>
      </w:tr>
      <w:tr>
        <w:tc>
          <w:tcPr>
            <w:tcW w:type="dxa" w:w="3360"/>
          </w:tcPr>
          <w:p>
            <w:r>
              <w:rPr>
                <w:sz w:val="20"/>
              </w:rPr>
              <w:t>Egypt</w:t>
            </w:r>
          </w:p>
        </w:tc>
        <w:tc>
          <w:tcPr>
            <w:tcW w:type="dxa" w:w="3360"/>
          </w:tcPr>
          <w:p>
            <w:r>
              <w:rPr>
                <w:sz w:val="20"/>
              </w:rPr>
              <w:t>Strategic location + growing agri-processing capacity</w:t>
            </w:r>
          </w:p>
        </w:tc>
        <w:tc>
          <w:tcPr>
            <w:tcW w:type="dxa" w:w="3360"/>
          </w:tcPr>
          <w:p>
            <w:r>
              <w:rPr>
                <w:sz w:val="20"/>
              </w:rPr>
              <w:t>$97,924 – $244,809</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$293,772 – $734,427</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LOW</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MEDIUM</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1.3/4.0</w:t>
            </w:r>
          </w:p>
        </w:tc>
        <w:tc>
          <w:tcPr>
            <w:tcW w:type="dxa" w:w="3360"/>
          </w:tcPr>
          <w:p>
            <w:r>
              <w:rPr>
                <w:sz w:val="20"/>
              </w:rPr>
              <w:t>LOW</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$293,772 – $734,427</w:t>
            </w:r>
          </w:p>
        </w:tc>
      </w:tr>
      <w:tr>
        <w:tc>
          <w:tcPr>
            <w:tcW w:type="dxa" w:w="5040"/>
          </w:tcPr>
          <w:p>
            <w:r>
              <w:rPr>
                <w:sz w:val="20"/>
              </w:rPr>
              <w:t>Risk Reduction Value</w:t>
            </w:r>
          </w:p>
        </w:tc>
        <w:tc>
          <w:tcPr>
            <w:tcW w:type="dxa" w:w="5040"/>
          </w:tcPr>
          <w:p>
            <w:r>
              <w:rPr>
                <w:sz w:val="20"/>
              </w:rPr>
              <w:t>$-44,882</w:t>
            </w:r>
          </w:p>
        </w:tc>
      </w:tr>
      <w:tr>
        <w:tc>
          <w:tcPr>
            <w:tcW w:type="dxa" w:w="5040"/>
          </w:tcPr>
          <w:p>
            <w:r>
              <w:rPr>
                <w:sz w:val="20"/>
              </w:rPr>
              <w:t>Implementation Cost</w:t>
            </w:r>
          </w:p>
        </w:tc>
        <w:tc>
          <w:tcPr>
            <w:tcW w:type="dxa" w:w="5040"/>
          </w:tcPr>
          <w:p>
            <w:r>
              <w:rPr>
                <w:sz w:val="20"/>
              </w:rPr>
              <w:t>$163,206</w:t>
            </w:r>
          </w:p>
        </w:tc>
      </w:tr>
      <w:tr>
        <w:tc>
          <w:tcPr>
            <w:tcW w:type="dxa" w:w="5040"/>
          </w:tcPr>
          <w:p>
            <w:r>
              <w:rPr>
                <w:sz w:val="20"/>
              </w:rPr>
              <w:t>ROI (First Year)</w:t>
            </w:r>
          </w:p>
        </w:tc>
        <w:tc>
          <w:tcPr>
            <w:tcW w:type="dxa" w:w="5040"/>
          </w:tcPr>
          <w:p>
            <w:r>
              <w:rPr>
                <w:sz w:val="20"/>
              </w:rPr>
              <w:t>52% – 322%</w:t>
            </w:r>
          </w:p>
        </w:tc>
      </w:tr>
      <w:tr>
        <w:tc>
          <w:tcPr>
            <w:tcW w:type="dxa" w:w="5040"/>
          </w:tcPr>
          <w:p>
            <w:r>
              <w:rPr>
                <w:sz w:val="20"/>
              </w:rPr>
              <w:t>Payback Period</w:t>
            </w:r>
          </w:p>
        </w:tc>
        <w:tc>
          <w:tcPr>
            <w:tcW w:type="dxa" w:w="5040"/>
          </w:tcPr>
          <w:p>
            <w:r>
              <w:rPr>
                <w:sz w:val="20"/>
              </w:rPr>
              <w:t>7.9 – 2.8 months</w:t>
            </w:r>
          </w:p>
        </w:tc>
      </w:tr>
      <w:tr>
        <w:tc>
          <w:tcPr>
            <w:tcW w:type="dxa" w:w="5040"/>
          </w:tcPr>
          <w:p>
            <w:r>
              <w:rPr>
                <w:sz w:val="20"/>
              </w:rPr>
              <w:t>3-Year Net Benefit</w:t>
            </w:r>
          </w:p>
        </w:tc>
        <w:tc>
          <w:tcPr>
            <w:tcW w:type="dxa" w:w="5040"/>
          </w:tcPr>
          <w:p>
            <w:r>
              <w:rPr>
                <w:sz w:val="20"/>
              </w:rPr>
              <w:t>$583,465 – $1,905,430</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Malaya Agri Oils</w:t>
            </w:r>
          </w:p>
        </w:tc>
        <w:tc>
          <w:tcPr>
            <w:tcW w:type="dxa" w:w="2016"/>
          </w:tcPr>
          <w:p>
            <w:r>
              <w:rPr>
                <w:sz w:val="20"/>
              </w:rPr>
              <w:t>$2,140,200</w:t>
            </w:r>
          </w:p>
        </w:tc>
        <w:tc>
          <w:tcPr>
            <w:tcW w:type="dxa" w:w="2016"/>
          </w:tcPr>
          <w:p>
            <w:r>
              <w:rPr>
                <w:sz w:val="20"/>
              </w:rPr>
              <w:t>4.5/5.0</w:t>
            </w:r>
          </w:p>
        </w:tc>
        <w:tc>
          <w:tcPr>
            <w:tcW w:type="dxa" w:w="2016"/>
          </w:tcPr>
          <w:p>
            <w:r>
              <w:rPr>
                <w:sz w:val="20"/>
              </w:rPr>
              <w:t>86%</w:t>
            </w:r>
          </w:p>
        </w:tc>
        <w:tc>
          <w:tcPr>
            <w:tcW w:type="dxa" w:w="2016"/>
          </w:tcPr>
          <w:p>
            <w:r>
              <w:rPr>
                <w:sz w:val="20"/>
              </w:rPr>
              <w:t>8.0/10</w:t>
            </w:r>
          </w:p>
        </w:tc>
      </w:tr>
      <w:tr>
        <w:tc>
          <w:tcPr>
            <w:tcW w:type="dxa" w:w="2016"/>
          </w:tcPr>
          <w:p>
            <w:r>
              <w:rPr>
                <w:sz w:val="20"/>
              </w:rPr>
              <w:t>Ricela Health Foods</w:t>
            </w:r>
          </w:p>
        </w:tc>
        <w:tc>
          <w:tcPr>
            <w:tcW w:type="dxa" w:w="2016"/>
          </w:tcPr>
          <w:p>
            <w:r>
              <w:rPr>
                <w:sz w:val="20"/>
              </w:rPr>
              <w:t>$1,186,300</w:t>
            </w:r>
          </w:p>
        </w:tc>
        <w:tc>
          <w:tcPr>
            <w:tcW w:type="dxa" w:w="2016"/>
          </w:tcPr>
          <w:p>
            <w:r>
              <w:rPr>
                <w:sz w:val="20"/>
              </w:rPr>
              <w:t>4.2/5.0</w:t>
            </w:r>
          </w:p>
        </w:tc>
        <w:tc>
          <w:tcPr>
            <w:tcW w:type="dxa" w:w="2016"/>
          </w:tcPr>
          <w:p>
            <w:r>
              <w:rPr>
                <w:sz w:val="20"/>
              </w:rPr>
              <w:t>79%</w:t>
            </w:r>
          </w:p>
        </w:tc>
        <w:tc>
          <w:tcPr>
            <w:tcW w:type="dxa" w:w="2016"/>
          </w:tcPr>
          <w:p>
            <w:r>
              <w:rPr>
                <w:sz w:val="20"/>
              </w:rPr>
              <w:t>8.0/10</w:t>
            </w:r>
          </w:p>
        </w:tc>
      </w:tr>
      <w:tr>
        <w:tc>
          <w:tcPr>
            <w:tcW w:type="dxa" w:w="2016"/>
          </w:tcPr>
          <w:p>
            <w:r>
              <w:rPr>
                <w:sz w:val="20"/>
              </w:rPr>
              <w:t>Borneo Nutrients</w:t>
            </w:r>
          </w:p>
        </w:tc>
        <w:tc>
          <w:tcPr>
            <w:tcW w:type="dxa" w:w="2016"/>
          </w:tcPr>
          <w:p>
            <w:r>
              <w:rPr>
                <w:sz w:val="20"/>
              </w:rPr>
              <w:t>$1,479,600</w:t>
            </w:r>
          </w:p>
        </w:tc>
        <w:tc>
          <w:tcPr>
            <w:tcW w:type="dxa" w:w="2016"/>
          </w:tcPr>
          <w:p>
            <w:r>
              <w:rPr>
                <w:sz w:val="20"/>
              </w:rPr>
              <w:t>4.2/5.0</w:t>
            </w:r>
          </w:p>
        </w:tc>
        <w:tc>
          <w:tcPr>
            <w:tcW w:type="dxa" w:w="2016"/>
          </w:tcPr>
          <w:p>
            <w:r>
              <w:rPr>
                <w:sz w:val="20"/>
              </w:rPr>
              <w:t>81%</w:t>
            </w:r>
          </w:p>
        </w:tc>
        <w:tc>
          <w:tcPr>
            <w:tcW w:type="dxa" w:w="2016"/>
          </w:tcPr>
          <w:p>
            <w:r>
              <w:rPr>
                <w:sz w:val="20"/>
              </w:rPr>
              <w:t>8.0/10</w:t>
            </w:r>
          </w:p>
        </w:tc>
      </w:tr>
      <w:tr>
        <w:tc>
          <w:tcPr>
            <w:tcW w:type="dxa" w:w="2016"/>
          </w:tcPr>
          <w:p>
            <w:r>
              <w:rPr>
                <w:sz w:val="20"/>
              </w:rPr>
              <w:t>Belgium Fresh Oils Co</w:t>
            </w:r>
          </w:p>
        </w:tc>
        <w:tc>
          <w:tcPr>
            <w:tcW w:type="dxa" w:w="2016"/>
          </w:tcPr>
          <w:p>
            <w:r>
              <w:rPr>
                <w:sz w:val="20"/>
              </w:rPr>
              <w:t>$2,366,300</w:t>
            </w:r>
          </w:p>
        </w:tc>
        <w:tc>
          <w:tcPr>
            <w:tcW w:type="dxa" w:w="2016"/>
          </w:tcPr>
          <w:p>
            <w:r>
              <w:rPr>
                <w:sz w:val="20"/>
              </w:rPr>
              <w:t>4.9/5.0</w:t>
            </w:r>
          </w:p>
        </w:tc>
        <w:tc>
          <w:tcPr>
            <w:tcW w:type="dxa" w:w="2016"/>
          </w:tcPr>
          <w:p>
            <w:r>
              <w:rPr>
                <w:sz w:val="20"/>
              </w:rPr>
              <w:t>83%</w:t>
            </w:r>
          </w:p>
        </w:tc>
        <w:tc>
          <w:tcPr>
            <w:tcW w:type="dxa" w:w="2016"/>
          </w:tcPr>
          <w:p>
            <w:r>
              <w:rPr>
                <w:sz w:val="20"/>
              </w:rPr>
              <w:t>8.3/10</w:t>
            </w:r>
          </w:p>
        </w:tc>
      </w:tr>
      <w:tr>
        <w:tc>
          <w:tcPr>
            <w:tcW w:type="dxa" w:w="2016"/>
          </w:tcPr>
          <w:p>
            <w:r>
              <w:rPr>
                <w:sz w:val="20"/>
              </w:rPr>
              <w:t>Thai Rice Oil Co</w:t>
            </w:r>
          </w:p>
        </w:tc>
        <w:tc>
          <w:tcPr>
            <w:tcW w:type="dxa" w:w="2016"/>
          </w:tcPr>
          <w:p>
            <w:r>
              <w:rPr>
                <w:sz w:val="20"/>
              </w:rPr>
              <w:t>$524,400</w:t>
            </w:r>
          </w:p>
        </w:tc>
        <w:tc>
          <w:tcPr>
            <w:tcW w:type="dxa" w:w="2016"/>
          </w:tcPr>
          <w:p>
            <w:r>
              <w:rPr>
                <w:sz w:val="20"/>
              </w:rPr>
              <w:t>4.4/5.0</w:t>
            </w:r>
          </w:p>
        </w:tc>
        <w:tc>
          <w:tcPr>
            <w:tcW w:type="dxa" w:w="2016"/>
          </w:tcPr>
          <w:p>
            <w:r>
              <w:rPr>
                <w:sz w:val="20"/>
              </w:rPr>
              <w:t>90%</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10</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71%</w:t>
            </w:r>
          </w:p>
        </w:tc>
      </w:tr>
    </w:tbl>
    <w:p/>
    <w:p>
      <w:r>
        <w:rPr>
          <w:b/>
        </w:rPr>
        <w:t>Violations Detected:</w:t>
      </w:r>
    </w:p>
    <w:p>
      <w:pPr>
        <w:pStyle w:val="ListBullet"/>
      </w:pPr>
      <w:r>
        <w:t>R001: Regional Concentration</w:t>
      </w:r>
    </w:p>
    <w:p>
      <w:pPr>
        <w:pStyle w:val="ListBullet"/>
      </w:pPr>
      <w:r>
        <w:t>R008: Delivery Performance</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29% to 40% in Phase 1</w:t>
      </w:r>
    </w:p>
    <w:p>
      <w:pPr>
        <w:pStyle w:val="ListBullet"/>
      </w:pPr>
      <w:r>
        <w:t>Activate diversified spend via new qualified suppliers</w:t>
      </w:r>
    </w:p>
    <w:p>
      <w:pPr>
        <w:pStyle w:val="ListBullet"/>
      </w:pPr>
      <w:r>
        <w:t>Improve pricing leverage through supplier competition</w:t>
      </w:r>
    </w:p>
    <w:p>
      <w:pPr>
        <w:pStyle w:val="ListBullet"/>
      </w:pPr>
      <w:r>
        <w:t>Reduce southeast asia supply corridor risk by ~0%</w:t>
      </w:r>
    </w:p>
    <w:p>
      <w:pPr>
        <w:pStyle w:val="ListBullet"/>
      </w:pPr>
      <w:r>
        <w:t>Achieve estimated annual cost advantage of USD 293,772-734,427 while improving supply continuity</w:t>
      </w:r>
    </w:p>
    <w:p/>
    <w:p>
      <w:pPr>
        <w:pStyle w:val="Heading2"/>
      </w:pPr>
      <w:r>
        <w:rPr>
          <w:color w:val="003366"/>
        </w:rPr>
        <w:t>WHY THIS MATTERS</w:t>
      </w:r>
    </w:p>
    <w:p>
      <w:r>
        <w:t>MARKET CONTEXT FOR RICE BRAN OIL:</w:t>
        <w:br/>
        <w:br/>
        <w:t xml:space="preserve">The Rice Bran Oil market presents opportunities for procurement optimization through strategic supplier diversification and regional rebalancing. </w:t>
        <w:br/>
        <w:br/>
        <w:t>Key market factors to consider:</w:t>
        <w:br/>
        <w:t>- Global supply chain resilience has become a critical priority</w:t>
        <w:br/>
        <w:t>- Regional concentration creates vulnerability to localized disruptions</w:t>
        <w:br/>
        <w:t>- Supplier competition typically yields 5-15% cost improvements</w:t>
        <w:br/>
        <w:t>- Multi-region sourcing provides logistics flexibility and risk mitigation</w:t>
        <w:br/>
        <w:br/>
        <w:t>For Rice Bran Oil, diversification strategies should balance cost optimization with quality requirements, delivery reliability, and risk management objectives.</w:t>
      </w:r>
    </w:p>
    <w:p/>
    <w:p>
      <w:pPr>
        <w:pStyle w:val="Heading2"/>
      </w:pPr>
      <w:r>
        <w:rPr>
          <w:color w:val="003366"/>
        </w:rPr>
        <w:t>BUSINESS JUSTIFICATION</w:t>
      </w:r>
    </w:p>
    <w:p>
      <w:r>
        <w:t>BUSINESS CASE JUSTIFICATION:</w:t>
        <w:br/>
        <w:br/>
        <w:t>1. FINANCIAL RETURN: The proposed diversification is projected to deliver $293,772 to $734,427 in annual cost savings, representing a 52%-322% ROI on the estimated $163,206 implementation investment.</w:t>
        <w:br/>
        <w:br/>
        <w:t>2. RISK MITIGATION: Current risk level is rated LOW. Reducing concentration by -11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w:t>
        <w:br/>
        <w:br/>
        <w:t>SUPPLIER RISK (MODERATE): At 29% concentration, there is opportunity to further balance the supplier portfolio.</w:t>
        <w:br/>
        <w:br/>
      </w:r>
    </w:p>
    <w:p/>
    <w:p>
      <w:pPr>
        <w:pStyle w:val="Heading2"/>
      </w:pPr>
      <w:r>
        <w:rPr>
          <w:color w:val="003366"/>
        </w:rPr>
        <w:t>RECOMMENDATION RATIONALE</w:t>
      </w:r>
    </w:p>
    <w:p>
      <w:r>
        <w:t>## STRATEGIC RECOMMENDATIONS</w:t>
        <w:br/>
        <w:br/>
        <w:t>To enhance supply chain resilience and align with industry best practices, the proposed diversification strategy aims to reduce the dominant supplier share from Belgium Fresh Oils Co to 40%, while integrating new suppliers from Indonesia, Vietnam, and Egypt. This approach is strategically sound as it addresses the critical need for geographic diversification, thereby mitigating the risk associated with high regional concentration. According to [SOURCE-1], maintaining a diverse supplier base across multiple regions is essential for reducing exposure to supply chain disruptions and ensuring continuity. By targeting low-cost regions such as Indonesia, Vietnam, and Egypt, the strategy not only diversifies geographic risk but also leverages cost efficiencies, potentially yielding savings in the range of 8% to 20% as noted in the data section and supported by [SOURCE-2].</w:t>
        <w:br/>
        <w:br/>
        <w:t>The selection of Indonesia, Vietnam, and Egypt as new sourcing regions is grounded in their competitive advantages. These regions are recognized for their cost-effective labor markets and growing industrial bases, which align with the strategic goal of cost reduction and supply chain diversification [SOURCE-3]. Furthermore, these regions are part of emerging markets that offer significant growth opportunities while balancing the risks associated with such markets through due diligence, as highlighted in [SOURCE-4]. By expanding into these regions, the company can capitalize on the favorable economic conditions and logistical advantages, such as proximity to major shipping routes, which are crucial for maintaining efficient supply chains.</w:t>
        <w:br/>
        <w:br/>
        <w:t>However, the strategy must also consider potential challenges such as geopolitical instability and regulatory compliance in these new regions. To mitigate these risks, it is recommended to conduct thorough due diligence on potential suppliers and establish robust risk management frameworks that include regular supplier audits and compliance checks [SOURCE-4]. Additionally, leveraging the global supplier database, which includes 893 qualified suppliers across key regions, can facilitate the identification of reliable partners that meet the company's quality and compliance standards [SOURCE-5]. By implementing these measures, the company can ensure a successful transition to a more diversified and resilient supply chain.</w:t>
        <w:br/>
        <w:br/>
        <w:t>---</w:t>
        <w:br/>
        <w:t>Sources: supplier_risk.txt, roi_calculations.txt, regional_strategy.txt</w:t>
      </w:r>
    </w:p>
    <w:p/>
    <w:p>
      <w:pPr>
        <w:pStyle w:val="Heading2"/>
      </w:pPr>
      <w:r>
        <w:rPr>
          <w:color w:val="003366"/>
        </w:rPr>
        <w:t>🤖 AI-GENERATED EXECUTIVE SUMMARY</w:t>
      </w:r>
    </w:p>
    <w:p>
      <w:pPr>
        <w:spacing w:after="240"/>
      </w:pPr>
      <w:r>
        <w:t>This analysis identifies a critical supplier concentration issue in our procurement portfolio, with Belgium Fresh Oils Co representing 29% of the $8,160,300 annual spend. The current risk level is rated LOW, requiring immediate attention to ensure supply chain continuity.</w:t>
        <w:br/>
        <w:br/>
        <w:t>The recommended diversification strategy targets a reduction in concentration to 55% through phased activation of alternate suppliers and regional diversification. This initiative is projected to deliver $293,772 to $734,427 in annual cost savings with a 52%-322% ROI.</w:t>
        <w:br/>
        <w:br/>
        <w:t>Implementation follows a 26-week phased approach beginning with supplier qualification, followed by pilot contracts and performance validation before full scale-up.</w:t>
      </w:r>
    </w:p>
    <w:p/>
    <w:p>
      <w:pPr>
        <w:pStyle w:val="Heading2"/>
      </w:pPr>
      <w:r>
        <w:rPr>
          <w:color w:val="003366"/>
        </w:rPr>
        <w:t>🤖 AI-POWERED RISK ANALYSIS</w:t>
      </w:r>
    </w:p>
    <w:p>
      <w:pPr>
        <w:spacing w:after="240"/>
      </w:pPr>
      <w:r>
        <w:t>## Risk Analysis Narrative</w:t>
        <w:br/>
        <w:br/>
        <w:t>Based on the provided data, the most critical risk facing the supply chain is the regional concentration in Malaysia, which accounts for 44.4% of the total spend. This exceeds the 40% threshold for regional concentration, categorizing it as a critical risk according to best practices outlined in the procurement rulebook ([SOURCE-3], [SOURCE-5]). The high concentration in a single region exposes the supply chain to potential disruptions due to geopolitical instability, natural disasters, or regulatory changes specific to that region. Such disruptions could lead to significant delays and increased costs, impacting the business's ability to meet customer demand and maintain competitive pricing.</w:t>
        <w:br/>
        <w:br/>
        <w:t>Additionally, the supplier concentration with Belgium Fresh Oils Co, which holds 29.0% of the spend, presents a moderate risk. Although this does not exceed the 60% threshold for single supplier dependency ([SOURCE-3]), it is advisable to monitor and manage this concentration to prevent future risk escalation. Best practices suggest maintaining at least 3-5 qualified suppliers for critical categories to mitigate supply chain risks ([SOURCE-2]). This approach not only reduces dependency on a single supplier but also enhances negotiation leverage and supply chain resilience.</w:t>
        <w:br/>
        <w:br/>
        <w:t>Immediate attention should be directed towards diversifying the supplier base and reducing regional concentration. Implementing a dual sourcing strategy and exploring suppliers from other stable regions, such as Europe and the Americas, can significantly mitigate these risks ([SOURCE-4]). By adopting these strategies, the business can enhance its supply chain resilience, ensuring continuity and stability in its operations.</w:t>
        <w:br/>
        <w:br/>
        <w:t>---</w:t>
        <w:br/>
        <w:t>Sources: risk_assessment.txt, supplier_risk.txt, procurement_rulebook.csv</w:t>
      </w:r>
    </w:p>
    <w:p/>
    <w:p>
      <w:pPr>
        <w:pStyle w:val="Heading2"/>
      </w:pPr>
      <w:r>
        <w:rPr>
          <w:color w:val="003366"/>
        </w:rPr>
        <w:t>🤖 AI-GENERATED STRATEGIC RECOMMENDATIONS</w:t>
      </w:r>
    </w:p>
    <w:p>
      <w:pPr>
        <w:spacing w:after="240"/>
      </w:pPr>
      <w:r>
        <w:t>## STRATEGIC RECOMMENDATIONS</w:t>
        <w:br/>
        <w:br/>
        <w:t>To enhance supply chain resilience and align with industry best practices, the proposed diversification strategy aims to reduce the dominant supplier share from Belgium Fresh Oils Co to 40%, while integrating new suppliers from Indonesia, Vietnam, and Egypt. This approach is strategically sound as it addresses the critical need for geographic diversification, thereby mitigating the risk associated with high regional concentration. According to [SOURCE-1], maintaining a diverse supplier base across multiple regions is essential for reducing exposure to supply chain disruptions and ensuring continuity. By targeting low-cost regions such as Indonesia, Vietnam, and Egypt, the strategy not only diversifies geographic risk but also leverages cost efficiencies, potentially yielding savings in the range of 8% to 20% as noted in the data section and supported by [SOURCE-2].</w:t>
        <w:br/>
        <w:br/>
        <w:t>The selection of Indonesia, Vietnam, and Egypt as new sourcing regions is grounded in their competitive advantages. These regions are recognized for their cost-effective labor markets and growing industrial bases, which align with the strategic goal of cost reduction and supply chain diversification [SOURCE-3]. Furthermore, these regions are part of emerging markets that offer significant growth opportunities while balancing the risks associated with such markets through due diligence, as highlighted in [SOURCE-4]. By expanding into these regions, the company can capitalize on the favorable economic conditions and logistical advantages, such as proximity to major shipping routes, which are crucial for maintaining efficient supply chains.</w:t>
        <w:br/>
        <w:br/>
        <w:t>However, the strategy must also consider potential challenges such as geopolitical instability and regulatory compliance in these new regions. To mitigate these risks, it is recommended to conduct thorough due diligence on potential suppliers and establish robust risk management frameworks that include regular supplier audits and compliance checks [SOURCE-4]. Additionally, leveraging the global supplier database, which includes 893 qualified suppliers across key regions, can facilitate the identification of reliable partners that meet the company's quality and compliance standards [SOURCE-5]. By implementing these measures, the company can ensure a successful transition to a more diversified and resilient supply chain.</w:t>
        <w:br/>
        <w:br/>
        <w:t>---</w:t>
        <w:br/>
        <w:t>Sources: supplier_risk.txt, roi_calculations.txt, regional_strategy.txt</w:t>
      </w:r>
    </w:p>
    <w:p/>
    <w:p>
      <w:pPr>
        <w:pStyle w:val="Heading2"/>
      </w:pPr>
      <w:r>
        <w:rPr>
          <w:color w:val="003366"/>
        </w:rPr>
        <w:t>🤖 AI MARKET INTELLIGENCE</w:t>
      </w:r>
    </w:p>
    <w:p>
      <w:pPr>
        <w:spacing w:after="240"/>
      </w:pPr>
      <w:r>
        <w:t>MARKET CONTEXT FOR RICE BRAN OIL:</w:t>
        <w:br/>
        <w:br/>
        <w:t xml:space="preserve">The Rice Bran Oil market presents opportunities for procurement optimization through strategic supplier diversification and regional rebalancing. </w:t>
        <w:br/>
        <w:br/>
        <w:t>Key market factors to consider:</w:t>
        <w:br/>
        <w:t>- Global supply chain resilience has become a critical priority</w:t>
        <w:br/>
        <w:t>- Regional concentration creates vulnerability to localized disruptions</w:t>
        <w:br/>
        <w:t>- Supplier competition typically yields 5-15% cost improvements</w:t>
        <w:br/>
        <w:t>- Multi-region sourcing provides logistics flexibility and risk mitigation</w:t>
        <w:br/>
        <w:br/>
        <w:t>For Rice Bran Oil, diversification strategies should balance cost optimization with quality requirements, delivery reliability, and risk management objectives.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Indonesia, Vietnam, Egypt</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