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RICE BRAN OIL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2026: USD 8,160,300</w:t>
      </w:r>
    </w:p>
    <w:p/>
    <w:p>
      <w:pPr>
        <w:pStyle w:val="Heading2"/>
      </w:pPr>
      <w:r>
        <w:rPr>
          <w:color w:val="003366"/>
        </w:rPr>
        <w:t>ORIGINAL SPEND CONCENTRATION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$3,619,800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Belgium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29%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$2,366,300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$1,186,300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Thailand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$524,400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Saudi Arabia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$463,500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$3,619,800</w:t>
            </w:r>
          </w:p>
        </w:tc>
      </w:tr>
    </w:tbl>
    <w:p>
      <w:pPr>
        <w:spacing w:before="120"/>
      </w:pPr>
      <w:r>
        <w:t>Malaysia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$2,284,884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16%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Belgium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26%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$2,121,678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$1,060,839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11%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$897,633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11%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$897,633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11%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$897,633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$8,160,300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44% → 28% = 36.9%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Belgium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29% → 26% = 10.3%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14% → 13% = 10.3%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2026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Southeast Asia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40–44%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0–4%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Lower raw material input costs + scaling extraction infrastructure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$97,924 – $244,809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Industrial scale processing + pricing leverage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$97,924 – $244,809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$97,924 – $244,809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$97,924 – $244,809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$391,696 – $979,236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2.0/4.0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$391,696 – $979,236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$8,976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146% – 506%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$1,038,811 – $2,801,431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Malaysia reliance by 37%</w:t>
      </w:r>
    </w:p>
    <w:p>
      <w:pPr>
        <w:pStyle w:val="ListBullet"/>
      </w:pPr>
      <w:r>
        <w:t>Add 4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~0% with blended cost advantage</w:t>
      </w:r>
    </w:p>
    <w:p/>
    <w:p>
      <w:pPr>
        <w:pStyle w:val="Heading2"/>
      </w:pPr>
      <w:r>
        <w:rPr>
          <w:color w:val="003366"/>
        </w:rPr>
        <w:t>WHY THIS MATTERS</w:t>
      </w:r>
    </w:p>
    <w:p>
      <w:r>
        <w:t xml:space="preserve">This analysis reveals a moderate supplier concentration issue in Rice Bran Oil. With 44% of spend concentrated with one supplier, the organization faces significant vulnerability to supply disruptions, limited negotiating leverage, and reduced ability to respond to market changes. </w:t>
        <w:br/>
        <w:br/>
        <w:t>This matters because: (1) Supply chain resilience is now a board-level priority, (2) Procurement concentration directly impacts business continuity risk profiles, (3) Diversification typically yields 5-15% cost improvements through competitive pressure, and (4) opportunity for optimization to maintain competitive procurement operations.</w:t>
      </w:r>
    </w:p>
    <w:p/>
    <w:p>
      <w:pPr>
        <w:pStyle w:val="Heading2"/>
      </w:pPr>
      <w:r>
        <w:rPr>
          <w:color w:val="003366"/>
        </w:rPr>
        <w:t>BUSINESS JUSTIFICATION</w:t>
      </w:r>
    </w:p>
    <w:p>
      <w:r>
        <w:t>BUSINESS CASE JUSTIFICATION:</w:t>
        <w:br/>
        <w:br/>
        <w:t>1. FINANCIAL RETURN: The proposed diversification is projected to deliver $391,696 to $979,236 in annual cost savings, representing a 146%-506% ROI on the estimated $163,206 implementation investment.</w:t>
        <w:br/>
        <w:br/>
        <w:t>2. RISK MITIGATION: Current risk level is rated MEDIUM. Reducing concentration by 0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RISK ANALYSIS</w:t>
      </w:r>
    </w:p>
    <w:p>
      <w:r>
        <w:t>RISK ANALYSIS REASONING:</w:t>
        <w:br/>
        <w:br/>
        <w:t>• SUPPLIER RISK (MODERATE): At 29% concentration, there is opportunity to further balance the supplier portfolio.</w:t>
        <w:br/>
        <w:br/>
      </w:r>
    </w:p>
    <w:p/>
    <w:p>
      <w:pPr>
        <w:pStyle w:val="Heading2"/>
      </w:pPr>
      <w:r>
        <w:rPr>
          <w:color w:val="003366"/>
        </w:rPr>
        <w:t>RECOMMENDATION RATIONALE</w:t>
      </w:r>
    </w:p>
    <w:p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 xml:space="preserve">2. REGIONAL DIVERSIFICATION TO INDIA, CHINA: These regions are identified as optimal for Rice Bran Oil based on: </w:t>
        <w:br/>
        <w:t xml:space="preserve">   • India: Lower raw material input costs + scaling extraction infrastructure</w:t>
        <w:br/>
        <w:t xml:space="preserve">   • China: Industrial scale processing + pricing leverage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