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BRAN OIL DIVERSIFICATION</w:t>
      </w:r>
    </w:p>
    <w:p>
      <w:pPr>
        <w:jc w:val="center"/>
      </w:pPr>
      <w:r>
        <w:rPr>
          <w:i/>
          <w:sz w:val="22"/>
        </w:rPr>
        <w:t>Regional Concentration Analysis &amp; Diversification Strategy</w:t>
      </w:r>
    </w:p>
    <w:p>
      <w:pPr>
        <w:jc w:val="center"/>
      </w:pPr>
      <w:r>
        <w:rPr>
          <w:b/>
          <w:sz w:val="24"/>
        </w:rPr>
        <w:t>Total Category Spend 2026: USD 8,160,300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Malaysia</w:t>
            </w:r>
          </w:p>
        </w:tc>
        <w:tc>
          <w:tcPr>
            <w:tcW w:type="dxa" w:w="3360"/>
          </w:tcPr>
          <w:p>
            <w:r>
              <w:rPr>
                <w:sz w:val="20"/>
              </w:rPr>
              <w:t>44%</w:t>
            </w:r>
          </w:p>
        </w:tc>
        <w:tc>
          <w:tcPr>
            <w:tcW w:type="dxa" w:w="3360"/>
          </w:tcPr>
          <w:p>
            <w:r>
              <w:rPr>
                <w:sz w:val="20"/>
              </w:rPr>
              <w:t>$3,619,800</w:t>
            </w:r>
          </w:p>
        </w:tc>
      </w:tr>
      <w:tr>
        <w:tc>
          <w:tcPr>
            <w:tcW w:type="dxa" w:w="3360"/>
          </w:tcPr>
          <w:p>
            <w:r>
              <w:rPr>
                <w:sz w:val="20"/>
              </w:rPr>
              <w:t>Belgium</w:t>
            </w:r>
          </w:p>
        </w:tc>
        <w:tc>
          <w:tcPr>
            <w:tcW w:type="dxa" w:w="3360"/>
          </w:tcPr>
          <w:p>
            <w:r>
              <w:rPr>
                <w:sz w:val="20"/>
              </w:rPr>
              <w:t>29%</w:t>
            </w:r>
          </w:p>
        </w:tc>
        <w:tc>
          <w:tcPr>
            <w:tcW w:type="dxa" w:w="3360"/>
          </w:tcPr>
          <w:p>
            <w:r>
              <w:rPr>
                <w:sz w:val="20"/>
              </w:rPr>
              <w:t>$2,366,300</w:t>
            </w:r>
          </w:p>
        </w:tc>
      </w:tr>
      <w:tr>
        <w:tc>
          <w:tcPr>
            <w:tcW w:type="dxa" w:w="3360"/>
          </w:tcPr>
          <w:p>
            <w:r>
              <w:rPr>
                <w:sz w:val="20"/>
              </w:rPr>
              <w:t>India</w:t>
            </w:r>
          </w:p>
        </w:tc>
        <w:tc>
          <w:tcPr>
            <w:tcW w:type="dxa" w:w="3360"/>
          </w:tcPr>
          <w:p>
            <w:r>
              <w:rPr>
                <w:sz w:val="20"/>
              </w:rPr>
              <w:t>15%</w:t>
            </w:r>
          </w:p>
        </w:tc>
        <w:tc>
          <w:tcPr>
            <w:tcW w:type="dxa" w:w="3360"/>
          </w:tcPr>
          <w:p>
            <w:r>
              <w:rPr>
                <w:sz w:val="20"/>
              </w:rPr>
              <w:t>$1,186,300</w:t>
            </w:r>
          </w:p>
        </w:tc>
      </w:tr>
      <w:tr>
        <w:tc>
          <w:tcPr>
            <w:tcW w:type="dxa" w:w="3360"/>
          </w:tcPr>
          <w:p>
            <w:r>
              <w:rPr>
                <w:sz w:val="20"/>
              </w:rPr>
              <w:t>Thailand</w:t>
            </w:r>
          </w:p>
        </w:tc>
        <w:tc>
          <w:tcPr>
            <w:tcW w:type="dxa" w:w="3360"/>
          </w:tcPr>
          <w:p>
            <w:r>
              <w:rPr>
                <w:sz w:val="20"/>
              </w:rPr>
              <w:t>6%</w:t>
            </w:r>
          </w:p>
        </w:tc>
        <w:tc>
          <w:tcPr>
            <w:tcW w:type="dxa" w:w="3360"/>
          </w:tcPr>
          <w:p>
            <w:r>
              <w:rPr>
                <w:sz w:val="20"/>
              </w:rPr>
              <w:t>$524,400</w:t>
            </w:r>
          </w:p>
        </w:tc>
      </w:tr>
      <w:tr>
        <w:tc>
          <w:tcPr>
            <w:tcW w:type="dxa" w:w="3360"/>
          </w:tcPr>
          <w:p>
            <w:r>
              <w:rPr>
                <w:sz w:val="20"/>
              </w:rPr>
              <w:t>Saudi Arabia</w:t>
            </w:r>
          </w:p>
        </w:tc>
        <w:tc>
          <w:tcPr>
            <w:tcW w:type="dxa" w:w="3360"/>
          </w:tcPr>
          <w:p>
            <w:r>
              <w:rPr>
                <w:sz w:val="20"/>
              </w:rPr>
              <w:t>6%</w:t>
            </w:r>
          </w:p>
        </w:tc>
        <w:tc>
          <w:tcPr>
            <w:tcW w:type="dxa" w:w="3360"/>
          </w:tcPr>
          <w:p>
            <w:r>
              <w:rPr>
                <w:sz w:val="20"/>
              </w:rPr>
              <w:t>$463,500</w:t>
            </w:r>
          </w:p>
        </w:tc>
      </w:tr>
      <w:tr>
        <w:tc>
          <w:tcPr>
            <w:tcW w:type="dxa" w:w="3360"/>
          </w:tcPr>
          <w:p>
            <w:r>
              <w:rPr>
                <w:sz w:val="20"/>
              </w:rPr>
              <w:t>Total High Concentration</w:t>
            </w:r>
          </w:p>
        </w:tc>
        <w:tc>
          <w:tcPr>
            <w:tcW w:type="dxa" w:w="3360"/>
          </w:tcPr>
          <w:p>
            <w:r>
              <w:rPr>
                <w:sz w:val="20"/>
              </w:rPr>
              <w:t>44%</w:t>
            </w:r>
          </w:p>
        </w:tc>
        <w:tc>
          <w:tcPr>
            <w:tcW w:type="dxa" w:w="3360"/>
          </w:tcPr>
          <w:p>
            <w:r>
              <w:rPr>
                <w:sz w:val="20"/>
              </w:rPr>
              <w:t>$3,619,800</w:t>
            </w:r>
          </w:p>
        </w:tc>
      </w:tr>
    </w:tbl>
    <w:p>
      <w:pPr>
        <w:spacing w:before="120"/>
      </w:pPr>
      <w:r>
        <w:t>Malaysia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Malaysia</w:t>
            </w:r>
          </w:p>
        </w:tc>
        <w:tc>
          <w:tcPr>
            <w:tcW w:type="dxa" w:w="2520"/>
          </w:tcPr>
          <w:p>
            <w:r>
              <w:rPr>
                <w:sz w:val="20"/>
              </w:rPr>
              <w:t>28%</w:t>
            </w:r>
          </w:p>
        </w:tc>
        <w:tc>
          <w:tcPr>
            <w:tcW w:type="dxa" w:w="2520"/>
          </w:tcPr>
          <w:p>
            <w:r>
              <w:rPr>
                <w:sz w:val="20"/>
              </w:rPr>
              <w:t>$2,284,884</w:t>
            </w:r>
          </w:p>
        </w:tc>
        <w:tc>
          <w:tcPr>
            <w:tcW w:type="dxa" w:w="2520"/>
          </w:tcPr>
          <w:p>
            <w:r>
              <w:rPr>
                <w:sz w:val="20"/>
              </w:rPr>
              <w:t>16% lower</w:t>
            </w:r>
          </w:p>
        </w:tc>
      </w:tr>
      <w:tr>
        <w:tc>
          <w:tcPr>
            <w:tcW w:type="dxa" w:w="2520"/>
          </w:tcPr>
          <w:p>
            <w:r>
              <w:rPr>
                <w:sz w:val="20"/>
              </w:rPr>
              <w:t>Belgium</w:t>
            </w:r>
          </w:p>
        </w:tc>
        <w:tc>
          <w:tcPr>
            <w:tcW w:type="dxa" w:w="2520"/>
          </w:tcPr>
          <w:p>
            <w:r>
              <w:rPr>
                <w:sz w:val="20"/>
              </w:rPr>
              <w:t>26%</w:t>
            </w:r>
          </w:p>
        </w:tc>
        <w:tc>
          <w:tcPr>
            <w:tcW w:type="dxa" w:w="2520"/>
          </w:tcPr>
          <w:p>
            <w:r>
              <w:rPr>
                <w:sz w:val="20"/>
              </w:rPr>
              <w:t>$2,121,678</w:t>
            </w:r>
          </w:p>
        </w:tc>
        <w:tc>
          <w:tcPr>
            <w:tcW w:type="dxa" w:w="2520"/>
          </w:tcPr>
          <w:p>
            <w:r>
              <w:rPr>
                <w:sz w:val="20"/>
              </w:rPr>
              <w:t>3% lower</w:t>
            </w:r>
          </w:p>
        </w:tc>
      </w:tr>
      <w:tr>
        <w:tc>
          <w:tcPr>
            <w:tcW w:type="dxa" w:w="2520"/>
          </w:tcPr>
          <w:p>
            <w:r>
              <w:rPr>
                <w:sz w:val="20"/>
              </w:rPr>
              <w:t>India</w:t>
            </w:r>
          </w:p>
        </w:tc>
        <w:tc>
          <w:tcPr>
            <w:tcW w:type="dxa" w:w="2520"/>
          </w:tcPr>
          <w:p>
            <w:r>
              <w:rPr>
                <w:sz w:val="20"/>
              </w:rPr>
              <w:t>13%</w:t>
            </w:r>
          </w:p>
        </w:tc>
        <w:tc>
          <w:tcPr>
            <w:tcW w:type="dxa" w:w="2520"/>
          </w:tcPr>
          <w:p>
            <w:r>
              <w:rPr>
                <w:sz w:val="20"/>
              </w:rPr>
              <w:t>$1,060,839</w:t>
            </w:r>
          </w:p>
        </w:tc>
        <w:tc>
          <w:tcPr>
            <w:tcW w:type="dxa" w:w="2520"/>
          </w:tcPr>
          <w:p>
            <w:r>
              <w:rPr>
                <w:sz w:val="20"/>
              </w:rPr>
              <w:t>2% lower</w:t>
            </w:r>
          </w:p>
        </w:tc>
      </w:tr>
      <w:tr>
        <w:tc>
          <w:tcPr>
            <w:tcW w:type="dxa" w:w="2520"/>
          </w:tcPr>
          <w:p>
            <w:r>
              <w:rPr>
                <w:sz w:val="20"/>
              </w:rPr>
              <w:t>China</w:t>
            </w:r>
          </w:p>
        </w:tc>
        <w:tc>
          <w:tcPr>
            <w:tcW w:type="dxa" w:w="2520"/>
          </w:tcPr>
          <w:p>
            <w:r>
              <w:rPr>
                <w:sz w:val="20"/>
              </w:rPr>
              <w:t>11%</w:t>
            </w:r>
          </w:p>
        </w:tc>
        <w:tc>
          <w:tcPr>
            <w:tcW w:type="dxa" w:w="2520"/>
          </w:tcPr>
          <w:p>
            <w:r>
              <w:rPr>
                <w:sz w:val="20"/>
              </w:rPr>
              <w:t>$897,633</w:t>
            </w:r>
          </w:p>
        </w:tc>
        <w:tc>
          <w:tcPr>
            <w:tcW w:type="dxa" w:w="2520"/>
          </w:tcPr>
          <w:p>
            <w:r>
              <w:rPr>
                <w:sz w:val="20"/>
              </w:rPr>
              <w:t>New addition</w:t>
            </w:r>
          </w:p>
        </w:tc>
      </w:tr>
      <w:tr>
        <w:tc>
          <w:tcPr>
            <w:tcW w:type="dxa" w:w="2520"/>
          </w:tcPr>
          <w:p>
            <w:r>
              <w:rPr>
                <w:sz w:val="20"/>
              </w:rPr>
              <w:t>Mexico</w:t>
            </w:r>
          </w:p>
        </w:tc>
        <w:tc>
          <w:tcPr>
            <w:tcW w:type="dxa" w:w="2520"/>
          </w:tcPr>
          <w:p>
            <w:r>
              <w:rPr>
                <w:sz w:val="20"/>
              </w:rPr>
              <w:t>11%</w:t>
            </w:r>
          </w:p>
        </w:tc>
        <w:tc>
          <w:tcPr>
            <w:tcW w:type="dxa" w:w="2520"/>
          </w:tcPr>
          <w:p>
            <w:r>
              <w:rPr>
                <w:sz w:val="20"/>
              </w:rPr>
              <w:t>$897,633</w:t>
            </w:r>
          </w:p>
        </w:tc>
        <w:tc>
          <w:tcPr>
            <w:tcW w:type="dxa" w:w="2520"/>
          </w:tcPr>
          <w:p>
            <w:r>
              <w:rPr>
                <w:sz w:val="20"/>
              </w:rPr>
              <w:t>New addition</w:t>
            </w:r>
          </w:p>
        </w:tc>
      </w:tr>
      <w:tr>
        <w:tc>
          <w:tcPr>
            <w:tcW w:type="dxa" w:w="2520"/>
          </w:tcPr>
          <w:p>
            <w:r>
              <w:rPr>
                <w:sz w:val="20"/>
              </w:rPr>
              <w:t>Germany</w:t>
            </w:r>
          </w:p>
        </w:tc>
        <w:tc>
          <w:tcPr>
            <w:tcW w:type="dxa" w:w="2520"/>
          </w:tcPr>
          <w:p>
            <w:r>
              <w:rPr>
                <w:sz w:val="20"/>
              </w:rPr>
              <w:t>11%</w:t>
            </w:r>
          </w:p>
        </w:tc>
        <w:tc>
          <w:tcPr>
            <w:tcW w:type="dxa" w:w="2520"/>
          </w:tcPr>
          <w:p>
            <w:r>
              <w:rPr>
                <w:sz w:val="20"/>
              </w:rPr>
              <w:t>$897,633</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$8,160,300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Malaysia</w:t>
            </w:r>
          </w:p>
        </w:tc>
        <w:tc>
          <w:tcPr>
            <w:tcW w:type="dxa" w:w="5040"/>
          </w:tcPr>
          <w:p>
            <w:r>
              <w:rPr>
                <w:sz w:val="20"/>
              </w:rPr>
              <w:t>44% -&gt; 28% = 36.9% reduction in share</w:t>
            </w:r>
          </w:p>
        </w:tc>
      </w:tr>
      <w:tr>
        <w:tc>
          <w:tcPr>
            <w:tcW w:type="dxa" w:w="5040"/>
          </w:tcPr>
          <w:p>
            <w:r>
              <w:rPr>
                <w:sz w:val="20"/>
              </w:rPr>
              <w:t>Belgium</w:t>
            </w:r>
          </w:p>
        </w:tc>
        <w:tc>
          <w:tcPr>
            <w:tcW w:type="dxa" w:w="5040"/>
          </w:tcPr>
          <w:p>
            <w:r>
              <w:rPr>
                <w:sz w:val="20"/>
              </w:rPr>
              <w:t>29% -&gt; 26% = 10.3% reduction in share</w:t>
            </w:r>
          </w:p>
        </w:tc>
      </w:tr>
      <w:tr>
        <w:tc>
          <w:tcPr>
            <w:tcW w:type="dxa" w:w="5040"/>
          </w:tcPr>
          <w:p>
            <w:r>
              <w:rPr>
                <w:sz w:val="20"/>
              </w:rPr>
              <w:t>India</w:t>
            </w:r>
          </w:p>
        </w:tc>
        <w:tc>
          <w:tcPr>
            <w:tcW w:type="dxa" w:w="5040"/>
          </w:tcPr>
          <w:p>
            <w:r>
              <w:rPr>
                <w:sz w:val="20"/>
              </w:rPr>
              <w:t>15% -&gt; 13% = 10.6%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Southeast Asia Supply Corridor</w:t>
            </w:r>
          </w:p>
        </w:tc>
        <w:tc>
          <w:tcPr>
            <w:tcW w:type="dxa" w:w="2520"/>
          </w:tcPr>
          <w:p>
            <w:r>
              <w:rPr>
                <w:sz w:val="20"/>
              </w:rPr>
              <w:t>44%</w:t>
            </w:r>
          </w:p>
        </w:tc>
        <w:tc>
          <w:tcPr>
            <w:tcW w:type="dxa" w:w="2520"/>
          </w:tcPr>
          <w:p>
            <w:r>
              <w:rPr>
                <w:sz w:val="20"/>
              </w:rPr>
              <w:t>44-44%</w:t>
            </w:r>
          </w:p>
        </w:tc>
        <w:tc>
          <w:tcPr>
            <w:tcW w:type="dxa" w:w="2520"/>
          </w:tcPr>
          <w:p>
            <w:r>
              <w:rPr>
                <w:sz w:val="20"/>
              </w:rPr>
              <w:t>0-0%</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Indonesia</w:t>
            </w:r>
          </w:p>
        </w:tc>
        <w:tc>
          <w:tcPr>
            <w:tcW w:type="dxa" w:w="3360"/>
          </w:tcPr>
          <w:p>
            <w:r>
              <w:rPr>
                <w:sz w:val="20"/>
              </w:rPr>
              <w:t>High production capacity + efficient supply chains</w:t>
            </w:r>
          </w:p>
        </w:tc>
        <w:tc>
          <w:tcPr>
            <w:tcW w:type="dxa" w:w="3360"/>
          </w:tcPr>
          <w:p>
            <w:r>
              <w:rPr>
                <w:sz w:val="20"/>
              </w:rPr>
              <w:t>$97,924 – $244,809</w:t>
            </w:r>
          </w:p>
        </w:tc>
      </w:tr>
      <w:tr>
        <w:tc>
          <w:tcPr>
            <w:tcW w:type="dxa" w:w="3360"/>
          </w:tcPr>
          <w:p>
            <w:r>
              <w:rPr>
                <w:sz w:val="20"/>
              </w:rPr>
              <w:t>Vietnam</w:t>
            </w:r>
          </w:p>
        </w:tc>
        <w:tc>
          <w:tcPr>
            <w:tcW w:type="dxa" w:w="3360"/>
          </w:tcPr>
          <w:p>
            <w:r>
              <w:rPr>
                <w:sz w:val="20"/>
              </w:rPr>
              <w:t>Competitive labor costs + growing export infrastructure</w:t>
            </w:r>
          </w:p>
        </w:tc>
        <w:tc>
          <w:tcPr>
            <w:tcW w:type="dxa" w:w="3360"/>
          </w:tcPr>
          <w:p>
            <w:r>
              <w:rPr>
                <w:sz w:val="20"/>
              </w:rPr>
              <w:t>$97,924 – $244,809</w:t>
            </w:r>
          </w:p>
        </w:tc>
      </w:tr>
      <w:tr>
        <w:tc>
          <w:tcPr>
            <w:tcW w:type="dxa" w:w="3360"/>
          </w:tcPr>
          <w:p>
            <w:r>
              <w:rPr>
                <w:sz w:val="20"/>
              </w:rPr>
              <w:t>Egypt</w:t>
            </w:r>
          </w:p>
        </w:tc>
        <w:tc>
          <w:tcPr>
            <w:tcW w:type="dxa" w:w="3360"/>
          </w:tcPr>
          <w:p>
            <w:r>
              <w:rPr>
                <w:sz w:val="20"/>
              </w:rPr>
              <w:t>Strategic location + growing agri-processing capacity</w:t>
            </w:r>
          </w:p>
        </w:tc>
        <w:tc>
          <w:tcPr>
            <w:tcW w:type="dxa" w:w="3360"/>
          </w:tcPr>
          <w:p>
            <w:r>
              <w:rPr>
                <w:sz w:val="20"/>
              </w:rPr>
              <w:t>$97,924 – $244,809</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$293,772 – $734,427</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LOW</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MEDIUM</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LOW</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1.3/4.0</w:t>
            </w:r>
          </w:p>
        </w:tc>
        <w:tc>
          <w:tcPr>
            <w:tcW w:type="dxa" w:w="3360"/>
          </w:tcPr>
          <w:p>
            <w:r>
              <w:rPr>
                <w:sz w:val="20"/>
              </w:rPr>
              <w:t>LOW</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$293,772 – $734,427</w:t>
            </w:r>
          </w:p>
        </w:tc>
      </w:tr>
      <w:tr>
        <w:tc>
          <w:tcPr>
            <w:tcW w:type="dxa" w:w="5040"/>
          </w:tcPr>
          <w:p>
            <w:r>
              <w:rPr>
                <w:sz w:val="20"/>
              </w:rPr>
              <w:t>Risk Reduction Value</w:t>
            </w:r>
          </w:p>
        </w:tc>
        <w:tc>
          <w:tcPr>
            <w:tcW w:type="dxa" w:w="5040"/>
          </w:tcPr>
          <w:p>
            <w:r>
              <w:rPr>
                <w:sz w:val="20"/>
              </w:rPr>
              <w:t>$-44,882</w:t>
            </w:r>
          </w:p>
        </w:tc>
      </w:tr>
      <w:tr>
        <w:tc>
          <w:tcPr>
            <w:tcW w:type="dxa" w:w="5040"/>
          </w:tcPr>
          <w:p>
            <w:r>
              <w:rPr>
                <w:sz w:val="20"/>
              </w:rPr>
              <w:t>ROI (First Year)</w:t>
            </w:r>
          </w:p>
        </w:tc>
        <w:tc>
          <w:tcPr>
            <w:tcW w:type="dxa" w:w="5040"/>
          </w:tcPr>
          <w:p>
            <w:r>
              <w:rPr>
                <w:sz w:val="20"/>
              </w:rPr>
              <w:t>52% – 322%</w:t>
            </w:r>
          </w:p>
        </w:tc>
      </w:tr>
      <w:tr>
        <w:tc>
          <w:tcPr>
            <w:tcW w:type="dxa" w:w="5040"/>
          </w:tcPr>
          <w:p>
            <w:r>
              <w:rPr>
                <w:sz w:val="20"/>
              </w:rPr>
              <w:t>3-Year Net Benefit</w:t>
            </w:r>
          </w:p>
        </w:tc>
        <w:tc>
          <w:tcPr>
            <w:tcW w:type="dxa" w:w="5040"/>
          </w:tcPr>
          <w:p>
            <w:r>
              <w:rPr>
                <w:sz w:val="20"/>
              </w:rPr>
              <w:t>$583,465 – $1,905,430</w:t>
            </w:r>
          </w:p>
        </w:tc>
      </w:tr>
    </w:tbl>
    <w:p/>
    <w:p>
      <w:pPr>
        <w:pStyle w:val="Heading2"/>
      </w:pPr>
      <w:r>
        <w:rPr>
          <w:color w:val="003366"/>
        </w:rPr>
        <w:t>STRATEGIC OUTCOME</w:t>
      </w:r>
    </w:p>
    <w:p>
      <w:pPr>
        <w:pStyle w:val="ListBullet"/>
      </w:pPr>
      <w:r>
        <w:t>Reduce single-supplier concentration from 29%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~0%</w:t>
      </w:r>
    </w:p>
    <w:p>
      <w:pPr>
        <w:pStyle w:val="ListBullet"/>
      </w:pPr>
      <w:r>
        <w:t>Achieve estimated annual cost advantage of USD 293,772-734,427 while improving supply continuity</w:t>
      </w:r>
    </w:p>
    <w:p/>
    <w:p>
      <w:pPr>
        <w:pStyle w:val="Heading2"/>
      </w:pPr>
      <w:r>
        <w:rPr>
          <w:color w:val="003366"/>
        </w:rPr>
        <w:t>WHY THIS MATTERS</w:t>
      </w:r>
    </w:p>
    <w:p>
      <w:r>
        <w:t>MARKET CONTEXT FOR RICE BRAN OIL:</w:t>
        <w:br/>
        <w:br/>
        <w:t xml:space="preserve">The Rice Bran Oil market presents opportunities for procurement optimization through strategic supplier diversification and regional rebalancing. </w:t>
        <w:br/>
        <w:br/>
        <w:t>Key market factors to consider:</w:t>
        <w:br/>
        <w:t>- Global supply chain resilience has become a critical priority</w:t>
        <w:br/>
        <w:t>- Regional concentration creates vulnerability to localized disruptions</w:t>
        <w:br/>
        <w:t>- Supplier competition typically yields 5-15% cost improvements</w:t>
        <w:br/>
        <w:t>- Multi-region sourcing provides logistics flexibility and risk mitigation</w:t>
        <w:br/>
        <w:br/>
        <w:t>For Rice Bran Oil, diversification strategies should balance cost optimization with quality requirements, delivery reliability, and risk management objectives.</w:t>
      </w:r>
    </w:p>
    <w:p/>
    <w:p>
      <w:pPr>
        <w:pStyle w:val="Heading2"/>
      </w:pPr>
      <w:r>
        <w:rPr>
          <w:color w:val="003366"/>
        </w:rPr>
        <w:t>BUSINESS JUSTIFICATION</w:t>
      </w:r>
    </w:p>
    <w:p>
      <w:r>
        <w:t>BUSINESS CASE JUSTIFICATION:</w:t>
        <w:br/>
        <w:br/>
        <w:t>1. FINANCIAL RETURN: The proposed diversification is projected to deliver $293,772 to $734,427 in annual cost savings, representing a 52%-322% ROI on the estimated $163,206 implementation investment.</w:t>
        <w:br/>
        <w:br/>
        <w:t>2. RISK MITIGATION: Current risk level is rated LOW. Reducing concentration by -11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29% concentration, there is opportunity to further balance the supplier portfolio.</w:t>
        <w:br/>
        <w:br/>
      </w:r>
    </w:p>
    <w:p/>
    <w:p>
      <w:pPr>
        <w:pStyle w:val="Heading2"/>
      </w:pPr>
      <w:r>
        <w:rPr>
          <w:color w:val="003366"/>
        </w:rPr>
        <w:t>RECOMMENDATION RATIONALE</w:t>
      </w:r>
    </w:p>
    <w:p>
      <w:r>
        <w:t>## STRATEGIC RECOMMENDATIONS</w:t>
        <w:br/>
        <w:br/>
        <w:t>To effectively manage supplier concentration risk and enhance supply chain resilience, the proposed diversification strategy focuses on reducing the dominant share of Belgium Fresh Oils Co from 29.0% to a target of 40% by incorporating new suppliers from Indonesia, Vietnam, and Egypt. This approach aligns with industry best practices, which emphasize the importance of maintaining a balanced portfolio of suppliers to mitigate risks associated with high concentration levels [SOURCE-1]. By expanding into these regions, the strategy leverages the cost advantages and emerging market opportunities identified in the industry context, where countries like Indonesia, Vietnam, and Egypt are recognized as low-cost regions [SOURCE-3].</w:t>
        <w:br/>
        <w:br/>
        <w:t>The selection of Indonesia and Vietnam is strategic due to their established manufacturing scales and cost efficiency, which are crucial for maintaining competitive pricing and ensuring supply chain stability [SOURCE-3]. Egypt, as part of Africa's emerging markets, offers competitive labor costs and potential for significant cost savings, aligning with the expected savings range of 8-20% through strategic sourcing [SOURCE-2]. This geographic diversification not only reduces the risk associated with regional concentration but also taps into the growing industrial bases and logistical advantages of these regions [SOURCE-3].</w:t>
        <w:br/>
        <w:br/>
        <w:t>Potential challenges in implementing this strategy include managing the complexities of supplier qualification and ensuring compliance with regulatory requirements across different regions. To mitigate these challenges, it is essential to conduct thorough due diligence and establish robust supplier management processes. Additionally, balancing the growth opportunities in emerging markets with careful risk assessment will be critical to achieving the desired cost savings and supply chain resilience [SOURCE-4]. By following these strategic recommendations, the organization can enhance its procurement efficiency and reduce its overall risk exposure.</w:t>
        <w:br/>
        <w:br/>
        <w:t>---</w:t>
        <w:br/>
        <w:t>Sources: supplier_risk.txt, roi_calculations.txt, regional_strategy.txt</w:t>
      </w:r>
    </w:p>
    <w:p/>
    <w:p>
      <w:pPr>
        <w:pStyle w:val="Heading2"/>
      </w:pPr>
      <w:r>
        <w:rPr>
          <w:color w:val="003366"/>
        </w:rPr>
        <w:t>🤖 AI-GENERATED EXECUTIVE SUMMARY</w:t>
      </w:r>
    </w:p>
    <w:p>
      <w:pPr>
        <w:spacing w:after="240"/>
      </w:pPr>
      <w:r>
        <w:t>This analysis identifies significant regional concentration risk, with 44% of the $8,160,300 annual spend concentrated in Malaysia. The current risk level is rated LOW, indicating vulnerability to regional disruptions.</w:t>
        <w:br/>
        <w:br/>
        <w:t>The recommended diversification strategy targets geographic rebalancing through strategic expansion into alternative supply regions. This initiative is projected to deliver $293,772 to $734,427 in annual cost advantages while significantly improving supply chain resilience.</w:t>
        <w:br/>
        <w:br/>
        <w:t>Implementation follows a 26-week phased approach, starting with regional supplier identification and qualification, followed by pilot allocations to validate performance.</w:t>
      </w:r>
    </w:p>
    <w:p/>
    <w:p>
      <w:pPr>
        <w:pStyle w:val="Heading2"/>
      </w:pPr>
      <w:r>
        <w:rPr>
          <w:color w:val="003366"/>
        </w:rPr>
        <w:t>🤖 AI-POWERED RISK ANALYSIS</w:t>
      </w:r>
    </w:p>
    <w:p>
      <w:pPr>
        <w:spacing w:after="240"/>
      </w:pPr>
      <w:r>
        <w:t>## Risk Analysis Narrative</w:t>
        <w:br/>
        <w:br/>
        <w:t>Based on the provided data, the most critical risk identified is the regional concentration in Malaysia, which accounts for 44.4% of the total spend. This exceeds the 40% threshold for regional concentration, categorizing it as a critical risk according to best practices outlined in the procurement rulebook [SOURCE-5]. This high concentration in a single region exposes the supply chain to geographic risks, such as political instability, natural disasters, or regulatory changes, which could disrupt operations significantly. The business impact of this risk is substantial, as it could lead to supply chain disruptions, increased costs, and potential delays in product delivery.</w:t>
        <w:br/>
        <w:br/>
        <w:t>To mitigate this risk, it is recommended to diversify sourcing across multiple regions, as suggested by the regional procurement strategy [SOURCE-4]. Implementing a strategy that includes regions with strong infrastructure and established supply chains, such as the Americas and Europe, can help reduce dependency on a single region and enhance supply chain resilience. Additionally, considering emerging markets like Africa and the Middle East for diversification can provide competitive labor costs and growing industrial bases [SOURCE-2].</w:t>
        <w:br/>
        <w:br/>
        <w:t>While the overall risk level is currently assessed as low with a risk score of 1.3/4.0, the geographic concentration in Malaysia requires immediate attention due to its potential impact on the supply chain. Prioritizing the diversification of suppliers and regions will not only align with best practices but also ensure compliance with the critical risk management guidelines [SOURCE-1]. By addressing this risk proactively, the organization can maintain a stable supply chain and safeguard against future disruptions.</w:t>
        <w:br/>
        <w:br/>
        <w:t>---</w:t>
        <w:br/>
        <w:t>Sources: risk_assessment.txt, supplier_risk.txt, procurement_rulebook.csv</w:t>
      </w:r>
    </w:p>
    <w:p/>
    <w:p>
      <w:pPr>
        <w:pStyle w:val="Heading2"/>
      </w:pPr>
      <w:r>
        <w:rPr>
          <w:color w:val="003366"/>
        </w:rPr>
        <w:t>🤖 AI-GENERATED STRATEGIC RECOMMENDATIONS</w:t>
      </w:r>
    </w:p>
    <w:p>
      <w:pPr>
        <w:spacing w:after="240"/>
      </w:pPr>
      <w:r>
        <w:t>## STRATEGIC RECOMMENDATIONS</w:t>
        <w:br/>
        <w:br/>
        <w:t>To effectively manage supplier concentration risk and enhance supply chain resilience, the proposed diversification strategy focuses on reducing the dominant share of Belgium Fresh Oils Co from 29.0% to a target of 40% by incorporating new suppliers from Indonesia, Vietnam, and Egypt. This approach aligns with industry best practices, which emphasize the importance of maintaining a balanced portfolio of suppliers to mitigate risks associated with high concentration levels [SOURCE-1]. By expanding into these regions, the strategy leverages the cost advantages and emerging market opportunities identified in the industry context, where countries like Indonesia, Vietnam, and Egypt are recognized as low-cost regions [SOURCE-3].</w:t>
        <w:br/>
        <w:br/>
        <w:t>The selection of Indonesia and Vietnam is strategic due to their established manufacturing scales and cost efficiency, which are crucial for maintaining competitive pricing and ensuring supply chain stability [SOURCE-3]. Egypt, as part of Africa's emerging markets, offers competitive labor costs and potential for significant cost savings, aligning with the expected savings range of 8-20% through strategic sourcing [SOURCE-2]. This geographic diversification not only reduces the risk associated with regional concentration but also taps into the growing industrial bases and logistical advantages of these regions [SOURCE-3].</w:t>
        <w:br/>
        <w:br/>
        <w:t>Potential challenges in implementing this strategy include managing the complexities of supplier qualification and ensuring compliance with regulatory requirements across different regions. To mitigate these challenges, it is essential to conduct thorough due diligence and establish robust supplier management processes. Additionally, balancing the growth opportunities in emerging markets with careful risk assessment will be critical to achieving the desired cost savings and supply chain resilience [SOURCE-4]. By following these strategic recommendations, the organization can enhance its procurement efficiency and reduce its overall risk exposure.</w:t>
        <w:br/>
        <w:br/>
        <w:t>---</w:t>
        <w:br/>
        <w:t>Sources: supplier_risk.txt, roi_calculations.txt, regional_strategy.txt</w:t>
      </w:r>
    </w:p>
    <w:p/>
    <w:p>
      <w:pPr>
        <w:pStyle w:val="Heading2"/>
      </w:pPr>
      <w:r>
        <w:rPr>
          <w:color w:val="003366"/>
        </w:rPr>
        <w:t>🤖 AI MARKET INTELLIGENCE</w:t>
      </w:r>
    </w:p>
    <w:p>
      <w:pPr>
        <w:spacing w:after="240"/>
      </w:pPr>
      <w:r>
        <w:t>MARKET CONTEXT FOR RICE BRAN OIL:</w:t>
        <w:br/>
        <w:br/>
        <w:t xml:space="preserve">The Rice Bran Oil market presents opportunities for procurement optimization through strategic supplier diversification and regional rebalancing. </w:t>
        <w:br/>
        <w:br/>
        <w:t>Key market factors to consider:</w:t>
        <w:br/>
        <w:t>- Global supply chain resilience has become a critical priority</w:t>
        <w:br/>
        <w:t>- Regional concentration creates vulnerability to localized disruptions</w:t>
        <w:br/>
        <w:t>- Supplier competition typically yields 5-15% cost improvements</w:t>
        <w:br/>
        <w:t>- Multi-region sourcing provides logistics flexibility and risk mitigation</w:t>
        <w:br/>
        <w:br/>
        <w:t>For Rice Bran Oil, diversification strategies should balance cost optimization with quality requirements, delivery reliability, and risk management objectives.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Indonesia, Vietnam, Egypt</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