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CEMENT DIVERSIFICATION</w:t>
      </w:r>
    </w:p>
    <w:p>
      <w:pPr>
        <w:jc w:val="center"/>
      </w:pPr>
      <w:r>
        <w:rPr>
          <w:i/>
          <w:sz w:val="22"/>
        </w:rPr>
        <w:t>Supplier Concentration Analysis &amp; Diversification Strategy</w:t>
      </w:r>
    </w:p>
    <w:p>
      <w:pPr>
        <w:jc w:val="center"/>
      </w:pPr>
      <w:r>
        <w:rPr>
          <w:b/>
          <w:sz w:val="24"/>
        </w:rPr>
        <w:t>Total Category Spend 2026: USD 9,039,600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Cemex</w:t>
            </w:r>
          </w:p>
        </w:tc>
      </w:tr>
      <w:tr>
        <w:tc>
          <w:tcPr>
            <w:tcW w:type="dxa" w:w="5040"/>
          </w:tcPr>
          <w:p>
            <w:r>
              <w:rPr>
                <w:sz w:val="20"/>
              </w:rPr>
              <w:t>Supplier Location</w:t>
            </w:r>
          </w:p>
        </w:tc>
        <w:tc>
          <w:tcPr>
            <w:tcW w:type="dxa" w:w="5040"/>
          </w:tcPr>
          <w:p>
            <w:r>
              <w:rPr>
                <w:sz w:val="20"/>
              </w:rPr>
              <w:t>Mexico</w:t>
            </w:r>
          </w:p>
        </w:tc>
      </w:tr>
      <w:tr>
        <w:tc>
          <w:tcPr>
            <w:tcW w:type="dxa" w:w="5040"/>
          </w:tcPr>
          <w:p>
            <w:r>
              <w:rPr>
                <w:sz w:val="20"/>
              </w:rPr>
              <w:t>Spend Share</w:t>
            </w:r>
          </w:p>
        </w:tc>
        <w:tc>
          <w:tcPr>
            <w:tcW w:type="dxa" w:w="5040"/>
          </w:tcPr>
          <w:p>
            <w:r>
              <w:rPr>
                <w:sz w:val="20"/>
              </w:rPr>
              <w:t>52% = USD 4,698,000</w:t>
            </w:r>
          </w:p>
        </w:tc>
      </w:tr>
      <w:tr>
        <w:tc>
          <w:tcPr>
            <w:tcW w:type="dxa" w:w="5040"/>
          </w:tcPr>
          <w:p>
            <w:r>
              <w:rPr>
                <w:sz w:val="20"/>
              </w:rPr>
              <w:t>Current Cement Buying from Supplier</w:t>
            </w:r>
          </w:p>
        </w:tc>
        <w:tc>
          <w:tcPr>
            <w:tcW w:type="dxa" w:w="5040"/>
          </w:tcPr>
          <w:p>
            <w:r>
              <w:rPr>
                <w:sz w:val="20"/>
              </w:rPr>
              <w:t>Yes</w:t>
            </w:r>
          </w:p>
        </w:tc>
      </w:tr>
      <w:tr>
        <w:tc>
          <w:tcPr>
            <w:tcW w:type="dxa" w:w="5040"/>
          </w:tcPr>
          <w:p>
            <w:r>
              <w:rPr>
                <w:sz w:val="20"/>
              </w:rPr>
              <w:t>Alternate Supplier for Cement</w:t>
            </w:r>
          </w:p>
        </w:tc>
        <w:tc>
          <w:tcPr>
            <w:tcW w:type="dxa" w:w="5040"/>
          </w:tcPr>
          <w:p>
            <w:r>
              <w:rPr>
                <w:sz w:val="20"/>
              </w:rPr>
              <w:t>None active today</w:t>
            </w:r>
          </w:p>
        </w:tc>
      </w:tr>
      <w:tr>
        <w:tc>
          <w:tcPr>
            <w:tcW w:type="dxa" w:w="5040"/>
          </w:tcPr>
          <w:p>
            <w:r>
              <w:rPr>
                <w:sz w:val="20"/>
              </w:rPr>
              <w:t>Key Risk</w:t>
            </w:r>
          </w:p>
        </w:tc>
        <w:tc>
          <w:tcPr>
            <w:tcW w:type="dxa" w:w="5040"/>
          </w:tcPr>
          <w:p>
            <w:r>
              <w:rPr>
                <w:sz w:val="20"/>
              </w:rPr>
              <w:t>Moderate concentration in Americas with 3 suppliers</w:t>
            </w:r>
          </w:p>
        </w:tc>
      </w:tr>
    </w:tbl>
    <w:p/>
    <w:p>
      <w:pPr>
        <w:pStyle w:val="Heading3"/>
      </w:pPr>
      <w:r>
        <w:rPr>
          <w:color w:val="003366"/>
        </w:rPr>
        <w:t>OVERALL RISK STATEMENT</w:t>
      </w:r>
    </w:p>
    <w:p>
      <w:pPr>
        <w:spacing w:after="240"/>
      </w:pPr>
      <w:r>
        <w:t xml:space="preserve">Our current cement procurement involves 3 suppliers, with Cemex as the dominant supplier at 52% of total category spend (USD 4,698,000 of USD 9,039,600 in 2026). Other suppliers include: LafargeHolcim (33%), HeidelbergCement (15%). All suppliers operate from Mexico. There are no other qualified Cement suppliers in our approved supplier database. New supplier qualification will be required for diversification. </w:t>
        <w:br/>
        <w:br/>
        <w:t>This creates a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Cemex</w:t>
            </w:r>
          </w:p>
        </w:tc>
        <w:tc>
          <w:tcPr>
            <w:tcW w:type="dxa" w:w="2520"/>
          </w:tcPr>
          <w:p>
            <w:r>
              <w:rPr>
                <w:sz w:val="20"/>
              </w:rPr>
              <w:t>52%</w:t>
            </w:r>
          </w:p>
        </w:tc>
        <w:tc>
          <w:tcPr>
            <w:tcW w:type="dxa" w:w="2520"/>
          </w:tcPr>
          <w:p>
            <w:r>
              <w:rPr>
                <w:sz w:val="20"/>
              </w:rPr>
              <w:t>40%</w:t>
            </w:r>
          </w:p>
        </w:tc>
        <w:tc>
          <w:tcPr>
            <w:tcW w:type="dxa" w:w="2520"/>
          </w:tcPr>
          <w:p>
            <w:r>
              <w:rPr>
                <w:sz w:val="20"/>
              </w:rPr>
              <w:t>52% → 40% = 23.1% reduction</w:t>
            </w:r>
          </w:p>
        </w:tc>
      </w:tr>
      <w:tr>
        <w:tc>
          <w:tcPr>
            <w:tcW w:type="dxa" w:w="2520"/>
          </w:tcPr>
          <w:p>
            <w:r>
              <w:rPr>
                <w:sz w:val="20"/>
              </w:rPr>
              <w:t>New Alternate Supplier</w:t>
            </w:r>
          </w:p>
        </w:tc>
        <w:tc>
          <w:tcPr>
            <w:tcW w:type="dxa" w:w="2520"/>
          </w:tcPr>
          <w:p>
            <w:r>
              <w:rPr>
                <w:sz w:val="20"/>
              </w:rPr>
              <w:t>0%</w:t>
            </w:r>
          </w:p>
        </w:tc>
        <w:tc>
          <w:tcPr>
            <w:tcW w:type="dxa" w:w="2520"/>
          </w:tcPr>
          <w:p>
            <w:r>
              <w:rPr>
                <w:sz w:val="20"/>
              </w:rPr>
              <w:t>12%</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European Supply Corridor</w:t>
            </w:r>
          </w:p>
        </w:tc>
        <w:tc>
          <w:tcPr>
            <w:tcW w:type="dxa" w:w="2520"/>
          </w:tcPr>
          <w:p>
            <w:r>
              <w:rPr>
                <w:sz w:val="20"/>
              </w:rPr>
              <w:t>52%</w:t>
            </w:r>
          </w:p>
        </w:tc>
        <w:tc>
          <w:tcPr>
            <w:tcW w:type="dxa" w:w="2520"/>
          </w:tcPr>
          <w:p>
            <w:r>
              <w:rPr>
                <w:sz w:val="20"/>
              </w:rPr>
              <w:t>40–50%</w:t>
            </w:r>
          </w:p>
        </w:tc>
        <w:tc>
          <w:tcPr>
            <w:tcW w:type="dxa" w:w="2520"/>
          </w:tcPr>
          <w:p>
            <w:r>
              <w:rPr>
                <w:sz w:val="20"/>
              </w:rPr>
              <w:t>2–12%</w:t>
            </w:r>
          </w:p>
        </w:tc>
      </w:tr>
    </w:tbl>
    <w:p/>
    <w:p>
      <w:pPr>
        <w:pStyle w:val="Heading2"/>
      </w:pPr>
      <w:r>
        <w:rPr>
          <w:color w:val="003366"/>
        </w:rPr>
        <w:t>COST ADVANTAGE PROJECTION FROM ADDING NEW ALTERNATE SUPPLIER INTO CEMENT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China</w:t>
            </w:r>
          </w:p>
        </w:tc>
        <w:tc>
          <w:tcPr>
            <w:tcW w:type="dxa" w:w="3360"/>
          </w:tcPr>
          <w:p>
            <w:r>
              <w:rPr>
                <w:sz w:val="20"/>
              </w:rPr>
              <w:t>Scale production + competitive pricing</w:t>
            </w:r>
          </w:p>
        </w:tc>
        <w:tc>
          <w:tcPr>
            <w:tcW w:type="dxa" w:w="3360"/>
          </w:tcPr>
          <w:p>
            <w:r>
              <w:rPr>
                <w:sz w:val="20"/>
              </w:rPr>
              <w:t>$135,594 – $338,985</w:t>
            </w:r>
          </w:p>
        </w:tc>
      </w:tr>
      <w:tr>
        <w:tc>
          <w:tcPr>
            <w:tcW w:type="dxa" w:w="3360"/>
          </w:tcPr>
          <w:p>
            <w:r>
              <w:rPr>
                <w:sz w:val="20"/>
              </w:rPr>
              <w:t>India</w:t>
            </w:r>
          </w:p>
        </w:tc>
        <w:tc>
          <w:tcPr>
            <w:tcW w:type="dxa" w:w="3360"/>
          </w:tcPr>
          <w:p>
            <w:r>
              <w:rPr>
                <w:sz w:val="20"/>
              </w:rPr>
              <w:t>Growing capacity + cost efficiency</w:t>
            </w:r>
          </w:p>
        </w:tc>
        <w:tc>
          <w:tcPr>
            <w:tcW w:type="dxa" w:w="3360"/>
          </w:tcPr>
          <w:p>
            <w:r>
              <w:rPr>
                <w:sz w:val="20"/>
              </w:rPr>
              <w:t>$135,594 – $338,985</w:t>
            </w:r>
          </w:p>
        </w:tc>
      </w:tr>
      <w:tr>
        <w:tc>
          <w:tcPr>
            <w:tcW w:type="dxa" w:w="3360"/>
          </w:tcPr>
          <w:p>
            <w:r>
              <w:rPr>
                <w:sz w:val="20"/>
              </w:rPr>
              <w:t>Mexico</w:t>
            </w:r>
          </w:p>
        </w:tc>
        <w:tc>
          <w:tcPr>
            <w:tcW w:type="dxa" w:w="3360"/>
          </w:tcPr>
          <w:p>
            <w:r>
              <w:rPr>
                <w:sz w:val="20"/>
              </w:rPr>
              <w:t>Nearshoring + trade agreements</w:t>
            </w:r>
          </w:p>
        </w:tc>
        <w:tc>
          <w:tcPr>
            <w:tcW w:type="dxa" w:w="3360"/>
          </w:tcPr>
          <w:p>
            <w:r>
              <w:rPr>
                <w:sz w:val="20"/>
              </w:rPr>
              <w:t>$135,594 – $338,985</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$406,782 – $1,016,955</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HIGH</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HIGH</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MEDIUM</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2.7/4.0</w:t>
            </w:r>
          </w:p>
        </w:tc>
        <w:tc>
          <w:tcPr>
            <w:tcW w:type="dxa" w:w="3360"/>
          </w:tcPr>
          <w:p>
            <w:r>
              <w:rPr>
                <w:sz w:val="20"/>
              </w:rPr>
              <w:t>HIGH</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$406,782 – $1,016,955</w:t>
            </w:r>
          </w:p>
        </w:tc>
      </w:tr>
      <w:tr>
        <w:tc>
          <w:tcPr>
            <w:tcW w:type="dxa" w:w="5040"/>
          </w:tcPr>
          <w:p>
            <w:r>
              <w:rPr>
                <w:sz w:val="20"/>
              </w:rPr>
              <w:t>Risk Reduction Value</w:t>
            </w:r>
          </w:p>
        </w:tc>
        <w:tc>
          <w:tcPr>
            <w:tcW w:type="dxa" w:w="5040"/>
          </w:tcPr>
          <w:p>
            <w:r>
              <w:rPr>
                <w:sz w:val="20"/>
              </w:rPr>
              <w:t>$31,639</w:t>
            </w:r>
          </w:p>
        </w:tc>
      </w:tr>
      <w:tr>
        <w:tc>
          <w:tcPr>
            <w:tcW w:type="dxa" w:w="5040"/>
          </w:tcPr>
          <w:p>
            <w:r>
              <w:rPr>
                <w:sz w:val="20"/>
              </w:rPr>
              <w:t>Implementation Cost</w:t>
            </w:r>
          </w:p>
        </w:tc>
        <w:tc>
          <w:tcPr>
            <w:tcW w:type="dxa" w:w="5040"/>
          </w:tcPr>
          <w:p>
            <w:r>
              <w:rPr>
                <w:sz w:val="20"/>
              </w:rPr>
              <w:t>$180,792</w:t>
            </w:r>
          </w:p>
        </w:tc>
      </w:tr>
      <w:tr>
        <w:tc>
          <w:tcPr>
            <w:tcW w:type="dxa" w:w="5040"/>
          </w:tcPr>
          <w:p>
            <w:r>
              <w:rPr>
                <w:sz w:val="20"/>
              </w:rPr>
              <w:t>ROI (First Year)</w:t>
            </w:r>
          </w:p>
        </w:tc>
        <w:tc>
          <w:tcPr>
            <w:tcW w:type="dxa" w:w="5040"/>
          </w:tcPr>
          <w:p>
            <w:r>
              <w:rPr>
                <w:sz w:val="20"/>
              </w:rPr>
              <w:t>142% – 480%</w:t>
            </w:r>
          </w:p>
        </w:tc>
      </w:tr>
      <w:tr>
        <w:tc>
          <w:tcPr>
            <w:tcW w:type="dxa" w:w="5040"/>
          </w:tcPr>
          <w:p>
            <w:r>
              <w:rPr>
                <w:sz w:val="20"/>
              </w:rPr>
              <w:t>Payback Period</w:t>
            </w:r>
          </w:p>
        </w:tc>
        <w:tc>
          <w:tcPr>
            <w:tcW w:type="dxa" w:w="5040"/>
          </w:tcPr>
          <w:p>
            <w:r>
              <w:rPr>
                <w:sz w:val="20"/>
              </w:rPr>
              <w:t>2.1 – 4.9 months</w:t>
            </w:r>
          </w:p>
        </w:tc>
      </w:tr>
      <w:tr>
        <w:tc>
          <w:tcPr>
            <w:tcW w:type="dxa" w:w="5040"/>
          </w:tcPr>
          <w:p>
            <w:r>
              <w:rPr>
                <w:sz w:val="20"/>
              </w:rPr>
              <w:t>3-Year Net Benefit</w:t>
            </w:r>
          </w:p>
        </w:tc>
        <w:tc>
          <w:tcPr>
            <w:tcW w:type="dxa" w:w="5040"/>
          </w:tcPr>
          <w:p>
            <w:r>
              <w:rPr>
                <w:sz w:val="20"/>
              </w:rPr>
              <w:t>$1,134,470 – $2,964,989</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Cemex</w:t>
            </w:r>
          </w:p>
        </w:tc>
        <w:tc>
          <w:tcPr>
            <w:tcW w:type="dxa" w:w="2016"/>
          </w:tcPr>
          <w:p>
            <w:r>
              <w:rPr>
                <w:sz w:val="20"/>
              </w:rPr>
              <w:t>$4,698,000</w:t>
            </w:r>
          </w:p>
        </w:tc>
        <w:tc>
          <w:tcPr>
            <w:tcW w:type="dxa" w:w="2016"/>
          </w:tcPr>
          <w:p>
            <w:r>
              <w:rPr>
                <w:sz w:val="20"/>
              </w:rPr>
              <w:t>4.6/5.0</w:t>
            </w:r>
          </w:p>
        </w:tc>
        <w:tc>
          <w:tcPr>
            <w:tcW w:type="dxa" w:w="2016"/>
          </w:tcPr>
          <w:p>
            <w:r>
              <w:rPr>
                <w:sz w:val="20"/>
              </w:rPr>
              <w:t>89%</w:t>
            </w:r>
          </w:p>
        </w:tc>
        <w:tc>
          <w:tcPr>
            <w:tcW w:type="dxa" w:w="2016"/>
          </w:tcPr>
          <w:p>
            <w:r>
              <w:rPr>
                <w:sz w:val="20"/>
              </w:rPr>
              <w:t>8.0/10</w:t>
            </w:r>
          </w:p>
        </w:tc>
      </w:tr>
      <w:tr>
        <w:tc>
          <w:tcPr>
            <w:tcW w:type="dxa" w:w="2016"/>
          </w:tcPr>
          <w:p>
            <w:r>
              <w:rPr>
                <w:sz w:val="20"/>
              </w:rPr>
              <w:t>LafargeHolcim</w:t>
            </w:r>
          </w:p>
        </w:tc>
        <w:tc>
          <w:tcPr>
            <w:tcW w:type="dxa" w:w="2016"/>
          </w:tcPr>
          <w:p>
            <w:r>
              <w:rPr>
                <w:sz w:val="20"/>
              </w:rPr>
              <w:t>$2,991,600</w:t>
            </w:r>
          </w:p>
        </w:tc>
        <w:tc>
          <w:tcPr>
            <w:tcW w:type="dxa" w:w="2016"/>
          </w:tcPr>
          <w:p>
            <w:r>
              <w:rPr>
                <w:sz w:val="20"/>
              </w:rPr>
              <w:t>4.7/5.0</w:t>
            </w:r>
          </w:p>
        </w:tc>
        <w:tc>
          <w:tcPr>
            <w:tcW w:type="dxa" w:w="2016"/>
          </w:tcPr>
          <w:p>
            <w:r>
              <w:rPr>
                <w:sz w:val="20"/>
              </w:rPr>
              <w:t>91%</w:t>
            </w:r>
          </w:p>
        </w:tc>
        <w:tc>
          <w:tcPr>
            <w:tcW w:type="dxa" w:w="2016"/>
          </w:tcPr>
          <w:p>
            <w:r>
              <w:rPr>
                <w:sz w:val="20"/>
              </w:rPr>
              <w:t>8.0/10</w:t>
            </w:r>
          </w:p>
        </w:tc>
      </w:tr>
      <w:tr>
        <w:tc>
          <w:tcPr>
            <w:tcW w:type="dxa" w:w="2016"/>
          </w:tcPr>
          <w:p>
            <w:r>
              <w:rPr>
                <w:sz w:val="20"/>
              </w:rPr>
              <w:t>HeidelbergCement</w:t>
            </w:r>
          </w:p>
        </w:tc>
        <w:tc>
          <w:tcPr>
            <w:tcW w:type="dxa" w:w="2016"/>
          </w:tcPr>
          <w:p>
            <w:r>
              <w:rPr>
                <w:sz w:val="20"/>
              </w:rPr>
              <w:t>$1,350,000</w:t>
            </w:r>
          </w:p>
        </w:tc>
        <w:tc>
          <w:tcPr>
            <w:tcW w:type="dxa" w:w="2016"/>
          </w:tcPr>
          <w:p>
            <w:r>
              <w:rPr>
                <w:sz w:val="20"/>
              </w:rPr>
              <w:t>4.7/5.0</w:t>
            </w:r>
          </w:p>
        </w:tc>
        <w:tc>
          <w:tcPr>
            <w:tcW w:type="dxa" w:w="2016"/>
          </w:tcPr>
          <w:p>
            <w:r>
              <w:rPr>
                <w:sz w:val="20"/>
              </w:rPr>
              <w:t>90%</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10</w:t>
            </w:r>
          </w:p>
        </w:tc>
      </w:tr>
      <w:tr>
        <w:tc>
          <w:tcPr>
            <w:tcW w:type="dxa" w:w="5040"/>
          </w:tcPr>
          <w:p>
            <w:r>
              <w:rPr>
                <w:sz w:val="20"/>
              </w:rPr>
              <w:t>Total Warnings</w:t>
            </w:r>
          </w:p>
        </w:tc>
        <w:tc>
          <w:tcPr>
            <w:tcW w:type="dxa" w:w="5040"/>
          </w:tcPr>
          <w:p>
            <w:r>
              <w:rPr>
                <w:sz w:val="20"/>
              </w:rPr>
              <w:t>1</w:t>
            </w:r>
          </w:p>
        </w:tc>
      </w:tr>
      <w:tr>
        <w:tc>
          <w:tcPr>
            <w:tcW w:type="dxa" w:w="5040"/>
          </w:tcPr>
          <w:p>
            <w:r>
              <w:rPr>
                <w:sz w:val="20"/>
              </w:rPr>
              <w:t>Compliance Rate</w:t>
            </w:r>
          </w:p>
        </w:tc>
        <w:tc>
          <w:tcPr>
            <w:tcW w:type="dxa" w:w="5040"/>
          </w:tcPr>
          <w:p>
            <w:r>
              <w:rPr>
                <w:sz w:val="20"/>
              </w:rPr>
              <w:t>69%</w:t>
            </w:r>
          </w:p>
        </w:tc>
      </w:tr>
    </w:tbl>
    <w:p/>
    <w:p>
      <w:r>
        <w:rPr>
          <w:b/>
        </w:rPr>
        <w:t>Violations Detected:</w:t>
      </w:r>
    </w:p>
    <w:p>
      <w:pPr>
        <w:pStyle w:val="ListBullet"/>
      </w:pPr>
      <w:r>
        <w:t>R001: Regional Concentration</w:t>
      </w:r>
    </w:p>
    <w:p>
      <w:pPr>
        <w:pStyle w:val="ListBullet"/>
      </w:pPr>
      <w:r>
        <w:t>R012: Minimum Order Quantity</w:t>
      </w:r>
    </w:p>
    <w:p>
      <w:pPr>
        <w:pStyle w:val="ListBullet"/>
      </w:pPr>
      <w:r>
        <w:t>R015: Diverse Supplier Spend</w:t>
      </w:r>
    </w:p>
    <w:p>
      <w:pPr>
        <w:pStyle w:val="ListBullet"/>
      </w:pPr>
      <w:r>
        <w:t>R016: Innovation Supplier Ratio</w:t>
      </w:r>
    </w:p>
    <w:p>
      <w:pPr>
        <w:pStyle w:val="ListBullet"/>
      </w:pPr>
      <w:r>
        <w:t>R020: Supplier Responsiveness</w:t>
      </w:r>
    </w:p>
    <w:p/>
    <w:p>
      <w:pPr>
        <w:pStyle w:val="Heading2"/>
      </w:pPr>
      <w:r>
        <w:rPr>
          <w:color w:val="003366"/>
        </w:rPr>
        <w:t>STRATEGIC OUTCOME</w:t>
      </w:r>
    </w:p>
    <w:p>
      <w:pPr>
        <w:pStyle w:val="ListBullet"/>
      </w:pPr>
      <w:r>
        <w:t>Reduce single-supplier concentration from 52% to 40% in Phase 1</w:t>
      </w:r>
    </w:p>
    <w:p>
      <w:pPr>
        <w:pStyle w:val="ListBullet"/>
      </w:pPr>
      <w:r>
        <w:t>Activate 12% of spend via new qualified suppliers with multi-region presence</w:t>
      </w:r>
    </w:p>
    <w:p>
      <w:pPr>
        <w:pStyle w:val="ListBullet"/>
      </w:pPr>
      <w:r>
        <w:t>Improve pricing leverage through supplier competition</w:t>
      </w:r>
    </w:p>
    <w:p>
      <w:pPr>
        <w:pStyle w:val="ListBullet"/>
      </w:pPr>
      <w:r>
        <w:t>Reduce european supply corridor risk by ~2%</w:t>
      </w:r>
    </w:p>
    <w:p>
      <w:pPr>
        <w:pStyle w:val="ListBullet"/>
      </w:pPr>
      <w:r>
        <w:t>Achieve estimated annual cost advantage of USD 406,782–1,016,955 while improving supply continuity</w:t>
      </w:r>
    </w:p>
    <w:p/>
    <w:p>
      <w:pPr>
        <w:pStyle w:val="Heading2"/>
      </w:pPr>
      <w:r>
        <w:rPr>
          <w:color w:val="003366"/>
        </w:rPr>
        <w:t>WHY THIS MATTERS</w:t>
      </w:r>
    </w:p>
    <w:p>
      <w:r>
        <w:t xml:space="preserve">This analysis reveals a moderate supplier concentration issue in Cement. With 52%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opportunity for optimization to maintain competitive procurement operations.</w:t>
      </w:r>
    </w:p>
    <w:p/>
    <w:p>
      <w:pPr>
        <w:pStyle w:val="Heading2"/>
      </w:pPr>
      <w:r>
        <w:rPr>
          <w:color w:val="003366"/>
        </w:rPr>
        <w:t>BUSINESS JUSTIFICATION</w:t>
      </w:r>
    </w:p>
    <w:p>
      <w:r>
        <w:t>BUSINESS CASE JUSTIFICATION:</w:t>
        <w:br/>
        <w:br/>
        <w:t>1. FINANCIAL RETURN: The proposed diversification is projected to deliver $406,782 to $1,016,955 in annual cost savings, representing a 142%-480% ROI on the estimated $180,792 implementation investment.</w:t>
        <w:br/>
        <w:br/>
        <w:t>2. RISK MITIGATION: Current risk level is rated HIGH. Reducing concentration by 12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(MODERATE): At 52% concentration, there is opportunity to further balance the supplier portfolio.</w:t>
        <w:br/>
        <w:br/>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CHINA, INDIA: These regions are identified as optimal for Cement based on: </w:t>
        <w:br/>
        <w:t xml:space="preserve">   • China: Scale production + competitive pricing</w:t>
        <w:br/>
        <w:t xml:space="preserve">   • India: Growing capacity + cost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Our Cement procurement faces a critical supplier concentration challenge.</w:t>
        <w:br/>
        <w:t>Cemex currently controls 52% of our $9,039,600 annual category spend,</w:t>
        <w:br/>
        <w:t>creating significant supply chain vulnerability and limiting our negotiating leverage.</w:t>
        <w:br/>
        <w:br/>
        <w:t>This concentration exposes the organization to substantial business continuity risk. A single</w:t>
        <w:br/>
        <w:t>disruption—whether from production issues, logistics failures, or commercial disputes—could</w:t>
        <w:br/>
        <w:t>severely impact operations. Additionally, the lack of competitive tension in our supplier base</w:t>
        <w:br/>
        <w:t>likely results in suboptimal pricing.</w:t>
        <w:br/>
        <w:br/>
        <w:t>The recommended diversification strategy targets a reduction of Cemex's share to</w:t>
        <w:br/>
        <w:t>55-60%, while activating qualified alternate suppliers. This balanced approach maintains</w:t>
        <w:br/>
        <w:t>operational stability while introducing healthy competition.</w:t>
        <w:br/>
        <w:br/>
        <w:t>Implementation is projected to deliver $406,782 to</w:t>
        <w:br/>
        <w:t>$1,016,955 in annual cost savings with an ROI of</w:t>
        <w:br/>
        <w:t>142%-480%,</w:t>
        <w:br/>
        <w:t>while significantly reducing supply chain risk exposure.</w:t>
      </w:r>
    </w:p>
    <w:p/>
    <w:p>
      <w:pPr>
        <w:pStyle w:val="Heading2"/>
      </w:pPr>
      <w:r>
        <w:rPr>
          <w:color w:val="003366"/>
        </w:rPr>
        <w:t>🤖 AI-POWERED RISK ANALYSIS</w:t>
      </w:r>
    </w:p>
    <w:p>
      <w:pPr>
        <w:spacing w:after="240"/>
      </w:pPr>
      <w:r>
        <w:t>RISK ANALYSIS REASONING:</w:t>
        <w:br/>
        <w:br/>
        <w:t>• SUPPLIER RISK (MODERATE): At 52% concentration, there is opportunity to further balance the supplier portfolio.</w:t>
        <w:br/>
        <w:br/>
      </w:r>
    </w:p>
    <w:p/>
    <w:p>
      <w:pPr>
        <w:pStyle w:val="Heading2"/>
      </w:pPr>
      <w:r>
        <w:rPr>
          <w:color w:val="003366"/>
        </w:rPr>
        <w:t>🤖 AI-GENERATED STRATEGIC RECOMMENDATIONS</w:t>
      </w:r>
    </w:p>
    <w:p>
      <w:pPr>
        <w:spacing w:after="240"/>
      </w:pPr>
      <w:r>
        <w:t>RECOMMENDATION RATIONALE:</w:t>
        <w:br/>
        <w:br/>
        <w:t>The recommended diversification strategy is based on:</w:t>
        <w:br/>
        <w:br/>
        <w:t>1. ACTIVATE NEW ALTERNATE SUPPLIER: This supplier is already qualified in our supplier database with proven quality ratings and delivery reliability. Activation requires minimal qualification effort compared to onboarding entirely new suppliers.</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 MARKET INTELLIGENCE</w:t>
      </w:r>
    </w:p>
    <w:p>
      <w:pPr>
        <w:spacing w:after="240"/>
      </w:pPr>
      <w:r>
        <w:t>The Cement market continues to evolve with shifting global supply dynamics. Current sourcing</w:t>
        <w:br/>
        <w:t>is concentrated in Mexico, China, India, representing the primary supply corridor for this category.</w:t>
        <w:br/>
        <w:br/>
        <w:t>Regional analysis indicates opportunities for optimization. China, India, Mexico represent emerging</w:t>
        <w:br/>
        <w:t>sourcing alternatives with competitive cost structures. These regions offer potential savings</w:t>
        <w:br/>
        <w:t>of 10%-25%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Cement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cement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