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EVENT MANAGEMENT DIVERSIFICATION</w:t>
      </w:r>
    </w:p>
    <w:p>
      <w:pPr>
        <w:jc w:val="center"/>
      </w:pPr>
      <w:r>
        <w:rPr>
          <w:i/>
          <w:sz w:val="22"/>
        </w:rPr>
        <w:t>Supplier Concentration Analysis &amp; Diversification Strategy</w:t>
      </w:r>
    </w:p>
    <w:p>
      <w:pPr>
        <w:jc w:val="center"/>
      </w:pPr>
      <w:r>
        <w:rPr>
          <w:b/>
          <w:sz w:val="24"/>
        </w:rPr>
        <w:t>Total Category Spend 2026: USD 216,000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Maritz Global Events</w:t>
            </w:r>
          </w:p>
        </w:tc>
      </w:tr>
      <w:tr>
        <w:tc>
          <w:tcPr>
            <w:tcW w:type="dxa" w:w="5040"/>
          </w:tcPr>
          <w:p>
            <w:r>
              <w:rPr>
                <w:sz w:val="20"/>
              </w:rPr>
              <w:t>Supplier Location</w:t>
            </w:r>
          </w:p>
        </w:tc>
        <w:tc>
          <w:tcPr>
            <w:tcW w:type="dxa" w:w="5040"/>
          </w:tcPr>
          <w:p>
            <w:r>
              <w:rPr>
                <w:sz w:val="20"/>
              </w:rPr>
              <w:t>USA</w:t>
            </w:r>
          </w:p>
        </w:tc>
      </w:tr>
      <w:tr>
        <w:tc>
          <w:tcPr>
            <w:tcW w:type="dxa" w:w="5040"/>
          </w:tcPr>
          <w:p>
            <w:r>
              <w:rPr>
                <w:sz w:val="20"/>
              </w:rPr>
              <w:t>Spend Share</w:t>
            </w:r>
          </w:p>
        </w:tc>
        <w:tc>
          <w:tcPr>
            <w:tcW w:type="dxa" w:w="5040"/>
          </w:tcPr>
          <w:p>
            <w:r>
              <w:rPr>
                <w:sz w:val="20"/>
              </w:rPr>
              <w:t>100% = USD 216,000</w:t>
            </w:r>
          </w:p>
        </w:tc>
      </w:tr>
      <w:tr>
        <w:tc>
          <w:tcPr>
            <w:tcW w:type="dxa" w:w="5040"/>
          </w:tcPr>
          <w:p>
            <w:r>
              <w:rPr>
                <w:sz w:val="20"/>
              </w:rPr>
              <w:t>Current Event Management Buying from Supplier</w:t>
            </w:r>
          </w:p>
        </w:tc>
        <w:tc>
          <w:tcPr>
            <w:tcW w:type="dxa" w:w="5040"/>
          </w:tcPr>
          <w:p>
            <w:r>
              <w:rPr>
                <w:sz w:val="20"/>
              </w:rPr>
              <w:t>Yes</w:t>
            </w:r>
          </w:p>
        </w:tc>
      </w:tr>
      <w:tr>
        <w:tc>
          <w:tcPr>
            <w:tcW w:type="dxa" w:w="5040"/>
          </w:tcPr>
          <w:p>
            <w:r>
              <w:rPr>
                <w:sz w:val="20"/>
              </w:rPr>
              <w:t>Alternate Supplier for Event Management</w:t>
            </w:r>
          </w:p>
        </w:tc>
        <w:tc>
          <w:tcPr>
            <w:tcW w:type="dxa" w:w="5040"/>
          </w:tcPr>
          <w:p>
            <w:r>
              <w:rPr>
                <w:sz w:val="20"/>
              </w:rPr>
              <w:t>None active today</w:t>
            </w:r>
          </w:p>
        </w:tc>
      </w:tr>
      <w:tr>
        <w:tc>
          <w:tcPr>
            <w:tcW w:type="dxa" w:w="5040"/>
          </w:tcPr>
          <w:p>
            <w:r>
              <w:rPr>
                <w:sz w:val="20"/>
              </w:rPr>
              <w:t>Key Risk</w:t>
            </w:r>
          </w:p>
        </w:tc>
        <w:tc>
          <w:tcPr>
            <w:tcW w:type="dxa" w:w="5040"/>
          </w:tcPr>
          <w:p>
            <w:r>
              <w:rPr>
                <w:sz w:val="20"/>
              </w:rPr>
              <w:t>Extreme single-supplier lock-in and Americas supply corridor dependency</w:t>
            </w:r>
          </w:p>
        </w:tc>
      </w:tr>
    </w:tbl>
    <w:p/>
    <w:p>
      <w:pPr>
        <w:pStyle w:val="Heading3"/>
      </w:pPr>
      <w:r>
        <w:rPr>
          <w:color w:val="003366"/>
        </w:rPr>
        <w:t>OVERALL RISK STATEMENT</w:t>
      </w:r>
    </w:p>
    <w:p>
      <w:pPr>
        <w:spacing w:after="240"/>
      </w:pPr>
      <w:r>
        <w:t xml:space="preserve">Our current event management procurement is sourced entirely from Maritz Global Events, representing 100% of the total category spend (USD 216,000 in 2026). All suppliers operate from USA. There are no other qualified Event Management suppliers in our approved supplier database. New supplier qualification will be required for diversification. </w:t>
        <w:br/>
        <w:br/>
        <w:t>This creates both a critical single-supplier dependency risk and a correlated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Maritz Global Events</w:t>
            </w:r>
          </w:p>
        </w:tc>
        <w:tc>
          <w:tcPr>
            <w:tcW w:type="dxa" w:w="2520"/>
          </w:tcPr>
          <w:p>
            <w:r>
              <w:rPr>
                <w:sz w:val="20"/>
              </w:rPr>
              <w:t>100%</w:t>
            </w:r>
          </w:p>
        </w:tc>
        <w:tc>
          <w:tcPr>
            <w:tcW w:type="dxa" w:w="2520"/>
          </w:tcPr>
          <w:p>
            <w:r>
              <w:rPr>
                <w:sz w:val="20"/>
              </w:rPr>
              <w:t>60%</w:t>
            </w:r>
          </w:p>
        </w:tc>
        <w:tc>
          <w:tcPr>
            <w:tcW w:type="dxa" w:w="2520"/>
          </w:tcPr>
          <w:p>
            <w:r>
              <w:rPr>
                <w:sz w:val="20"/>
              </w:rPr>
              <w:t>100% → 60% = 40.0% reduction</w:t>
            </w:r>
          </w:p>
        </w:tc>
      </w:tr>
      <w:tr>
        <w:tc>
          <w:tcPr>
            <w:tcW w:type="dxa" w:w="2520"/>
          </w:tcPr>
          <w:p>
            <w:r>
              <w:rPr>
                <w:sz w:val="20"/>
              </w:rPr>
              <w:t>New Alternate Supplier</w:t>
            </w:r>
          </w:p>
        </w:tc>
        <w:tc>
          <w:tcPr>
            <w:tcW w:type="dxa" w:w="2520"/>
          </w:tcPr>
          <w:p>
            <w:r>
              <w:rPr>
                <w:sz w:val="20"/>
              </w:rPr>
              <w:t>0%</w:t>
            </w:r>
          </w:p>
        </w:tc>
        <w:tc>
          <w:tcPr>
            <w:tcW w:type="dxa" w:w="2520"/>
          </w:tcPr>
          <w:p>
            <w:r>
              <w:rPr>
                <w:sz w:val="20"/>
              </w:rPr>
              <w:t>40%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NEW ALTERNATE SUPPLIER INTO EVENT MANAGEMENT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$2,592 – $5,832</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$2,592 – $5,832</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$2,592 – $5,832</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$7,776 – $17,496</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CRITICAL</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4.0/4.0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$7,776 – $17,496</w:t>
            </w:r>
          </w:p>
        </w:tc>
      </w:tr>
      <w:tr>
        <w:tc>
          <w:tcPr>
            <w:tcW w:type="dxa" w:w="5040"/>
          </w:tcPr>
          <w:p>
            <w:r>
              <w:rPr>
                <w:sz w:val="20"/>
              </w:rPr>
              <w:t>Risk Reduction Value</w:t>
            </w:r>
          </w:p>
        </w:tc>
        <w:tc>
          <w:tcPr>
            <w:tcW w:type="dxa" w:w="5040"/>
          </w:tcPr>
          <w:p>
            <w:r>
              <w:rPr>
                <w:sz w:val="20"/>
              </w:rPr>
              <w:t>$2,970</w:t>
            </w:r>
          </w:p>
        </w:tc>
      </w:tr>
      <w:tr>
        <w:tc>
          <w:tcPr>
            <w:tcW w:type="dxa" w:w="5040"/>
          </w:tcPr>
          <w:p>
            <w:r>
              <w:rPr>
                <w:sz w:val="20"/>
              </w:rPr>
              <w:t>Implementation Cost</w:t>
            </w:r>
          </w:p>
        </w:tc>
        <w:tc>
          <w:tcPr>
            <w:tcW w:type="dxa" w:w="5040"/>
          </w:tcPr>
          <w:p>
            <w:r>
              <w:rPr>
                <w:sz w:val="20"/>
              </w:rPr>
              <w:t>$4,320</w:t>
            </w:r>
          </w:p>
        </w:tc>
      </w:tr>
      <w:tr>
        <w:tc>
          <w:tcPr>
            <w:tcW w:type="dxa" w:w="5040"/>
          </w:tcPr>
          <w:p>
            <w:r>
              <w:rPr>
                <w:sz w:val="20"/>
              </w:rPr>
              <w:t>ROI (First Year)</w:t>
            </w:r>
          </w:p>
        </w:tc>
        <w:tc>
          <w:tcPr>
            <w:tcW w:type="dxa" w:w="5040"/>
          </w:tcPr>
          <w:p>
            <w:r>
              <w:rPr>
                <w:sz w:val="20"/>
              </w:rPr>
              <w:t>149% – 374%</w:t>
            </w:r>
          </w:p>
        </w:tc>
      </w:tr>
      <w:tr>
        <w:tc>
          <w:tcPr>
            <w:tcW w:type="dxa" w:w="5040"/>
          </w:tcPr>
          <w:p>
            <w:r>
              <w:rPr>
                <w:sz w:val="20"/>
              </w:rPr>
              <w:t>Payback Period</w:t>
            </w:r>
          </w:p>
        </w:tc>
        <w:tc>
          <w:tcPr>
            <w:tcW w:type="dxa" w:w="5040"/>
          </w:tcPr>
          <w:p>
            <w:r>
              <w:rPr>
                <w:sz w:val="20"/>
              </w:rPr>
              <w:t>2.5 – 4.8 months</w:t>
            </w:r>
          </w:p>
        </w:tc>
      </w:tr>
      <w:tr>
        <w:tc>
          <w:tcPr>
            <w:tcW w:type="dxa" w:w="5040"/>
          </w:tcPr>
          <w:p>
            <w:r>
              <w:rPr>
                <w:sz w:val="20"/>
              </w:rPr>
              <w:t>3-Year Net Benefit</w:t>
            </w:r>
          </w:p>
        </w:tc>
        <w:tc>
          <w:tcPr>
            <w:tcW w:type="dxa" w:w="5040"/>
          </w:tcPr>
          <w:p>
            <w:r>
              <w:rPr>
                <w:sz w:val="20"/>
              </w:rPr>
              <w:t>$27,918 – $57,078</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Maritz Global Events</w:t>
            </w:r>
          </w:p>
        </w:tc>
        <w:tc>
          <w:tcPr>
            <w:tcW w:type="dxa" w:w="2016"/>
          </w:tcPr>
          <w:p>
            <w:r>
              <w:rPr>
                <w:sz w:val="20"/>
              </w:rPr>
              <w:t>$216,000</w:t>
            </w:r>
          </w:p>
        </w:tc>
        <w:tc>
          <w:tcPr>
            <w:tcW w:type="dxa" w:w="2016"/>
          </w:tcPr>
          <w:p>
            <w:r>
              <w:rPr>
                <w:sz w:val="20"/>
              </w:rPr>
              <w:t>4.6/5.0</w:t>
            </w:r>
          </w:p>
        </w:tc>
        <w:tc>
          <w:tcPr>
            <w:tcW w:type="dxa" w:w="2016"/>
          </w:tcPr>
          <w:p>
            <w:r>
              <w:rPr>
                <w:sz w:val="20"/>
              </w:rPr>
              <w:t>90%</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12</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66%</w:t>
            </w:r>
          </w:p>
        </w:tc>
      </w:tr>
    </w:tbl>
    <w:p/>
    <w:p>
      <w:r>
        <w:rPr>
          <w:b/>
        </w:rPr>
        <w:t>Violations Detected:</w:t>
      </w:r>
    </w:p>
    <w:p>
      <w:pPr>
        <w:pStyle w:val="ListBullet"/>
      </w:pPr>
      <w:r>
        <w:t>R001: Regional Concentration</w:t>
      </w:r>
    </w:p>
    <w:p>
      <w:pPr>
        <w:pStyle w:val="ListBullet"/>
      </w:pPr>
      <w:r>
        <w:t>R003: Single Supplier Dependency</w:t>
      </w:r>
    </w:p>
    <w:p>
      <w:pPr>
        <w:pStyle w:val="ListBullet"/>
      </w:pPr>
      <w:r>
        <w:t>R012: Minimum Order Quantity</w:t>
      </w:r>
    </w:p>
    <w:p>
      <w:pPr>
        <w:pStyle w:val="ListBullet"/>
      </w:pPr>
      <w:r>
        <w:t>R015: Diverse Supplier Spend</w:t>
      </w:r>
    </w:p>
    <w:p>
      <w:pPr>
        <w:pStyle w:val="ListBullet"/>
      </w:pPr>
      <w:r>
        <w:t>R016: Innovation Supplier Ratio</w:t>
      </w:r>
    </w:p>
    <w:p/>
    <w:p>
      <w:pPr>
        <w:pStyle w:val="Heading2"/>
      </w:pPr>
      <w:r>
        <w:rPr>
          <w:color w:val="003366"/>
        </w:rPr>
        <w:t>STRATEGIC OUTCOME</w:t>
      </w:r>
    </w:p>
    <w:p>
      <w:pPr>
        <w:pStyle w:val="ListBullet"/>
      </w:pPr>
      <w:r>
        <w:t>Reduce single-supplier concentration from 100% to 60% in Phase 1</w:t>
      </w:r>
    </w:p>
    <w:p>
      <w:pPr>
        <w:pStyle w:val="ListBullet"/>
      </w:pPr>
      <w:r>
        <w:t>Activate 40% of spend via new qualified suppliers with multi-region presence</w:t>
      </w:r>
    </w:p>
    <w:p>
      <w:pPr>
        <w:pStyle w:val="ListBullet"/>
      </w:pPr>
      <w:r>
        <w:t>Improve pricing leverage through supplier competition</w:t>
      </w:r>
    </w:p>
    <w:p>
      <w:pPr>
        <w:pStyle w:val="ListBullet"/>
      </w:pPr>
      <w:r>
        <w:t>Reduce americas supply corridor risk by ~25%</w:t>
      </w:r>
    </w:p>
    <w:p>
      <w:pPr>
        <w:pStyle w:val="ListBullet"/>
      </w:pPr>
      <w:r>
        <w:t>Achieve estimated annual cost advantage of USD 7,776–17,496 while improving supply continuity</w:t>
      </w:r>
    </w:p>
    <w:p/>
    <w:p>
      <w:pPr>
        <w:pStyle w:val="Heading2"/>
      </w:pPr>
      <w:r>
        <w:rPr>
          <w:color w:val="003366"/>
        </w:rPr>
        <w:t>WHY THIS MATTERS</w:t>
      </w:r>
    </w:p>
    <w:p>
      <w:r>
        <w:t xml:space="preserve">This analysis reveals a critical supplier concentration issue in Event Management. With 100% of the $216,000 annual spend flowing through a single supplier, any disruption—whether from production issues, logistics failures, geopolitical events, or commercial disputes—would result in complete supply chain failure. </w:t>
        <w:br/>
        <w:br/>
        <w:t>This matters because: (1) Supply chain resilience is now a board-level priority, (2) Procurement concentration directly impacts business continuity risk profiles, (3) Diversification typically yields 5-15% cost improvements through competitive pressure, and (4) immediate action required to maintain competitive procurement operations.</w:t>
      </w:r>
    </w:p>
    <w:p/>
    <w:p>
      <w:pPr>
        <w:pStyle w:val="Heading2"/>
      </w:pPr>
      <w:r>
        <w:rPr>
          <w:color w:val="003366"/>
        </w:rPr>
        <w:t>BUSINESS JUSTIFICATION</w:t>
      </w:r>
    </w:p>
    <w:p>
      <w:r>
        <w:t>BUSINESS CASE JUSTIFICATION:</w:t>
        <w:br/>
        <w:br/>
        <w:t>1. FINANCIAL RETURN: The proposed diversification is projected to deliver $7,776 to $17,496 in annual cost savings, representing a 149%-374% ROI on the estimated $4,320 implementation investment.</w:t>
        <w:br/>
        <w:br/>
        <w:t>2. RISK MITIGATION: Current risk level is rated CRITICAL. Reducing concentration by 40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(CRITICAL): At 100% concentration, a single supplier controls the vast majority of supply. Industry best practice recommends no single supplier exceeds 30%. Current state exceeds this threshold by 3x.</w:t>
        <w:br/>
        <w:br/>
        <w:t>• GEOGRAPHIC RISK (HIGH): 100% of spend is concentrated in USA. This exposes the supply chain to regional disruptions including: natural disasters, political instability, trade policy changes, and logistics bottlenecks.</w:t>
        <w:br/>
        <w:br/>
        <w:t>• DIVERSITY RISK (CRITICAL): Only 1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Event Management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procurement landscape for our Event Management category presents a critical business issue, with a total annual spend of $216,000 exclusively allocated to a single supplier, Maritz Global Events. This extreme concentration poses significant financial and operational risks, as it leaves our organization vulnerable to disruptions and limits our ability to negotiate favorable terms. The financial magnitude of this issue is underscored by the potential for substantial savings, projected between $7,776 and $17,496 annually, which translates to a remarkable return on investment (ROI) ranging from 149% to 374%.</w:t>
        <w:br/>
        <w:br/>
        <w:t>Relying solely on Maritz Global Events not only constrains our pricing leverage but also exposes us to heightened supply risks. In the event of any service disruption or performance issues from Maritz, our entire event management operations could face significant setbacks, impacting business continuity. Additionally, this dependency on a single supplier within the Americas supply corridor limits our strategic flexibility and increases our exposure to regional economic fluctuations and market volatility.</w:t>
        <w:br/>
        <w:br/>
        <w:t>To mitigate these risks, a strategic diversification of our supplier base is imperative. By introducing additional suppliers into our portfolio, we can enhance our negotiating power, ensure competitive pricing, and reduce the risk of supply chain disruptions. This approach will involve identifying and onboarding new suppliers with competitive offerings and robust service capabilities, thereby distributing our spend more evenly and reducing our dependency on any single entity.</w:t>
        <w:br/>
        <w:br/>
        <w:t>The anticipated strategic benefits of this diversification strategy are substantial. With projected annual savings of up to $17,496 and an impressive ROI potential, this initiative not only promises financial gains but also strengthens our supply chain resilience. By reducing our reliance on a single supplier, we enhance our ability to adapt to market changes, secure more favorable contract terms, and ultimately support our organization's long-term growth and stability.</w:t>
      </w:r>
    </w:p>
    <w:p/>
    <w:p>
      <w:pPr>
        <w:pStyle w:val="Heading2"/>
      </w:pPr>
      <w:r>
        <w:rPr>
          <w:color w:val="003366"/>
        </w:rPr>
        <w:t>🤖 AI-POWERED RISK ANALYSIS</w:t>
      </w:r>
    </w:p>
    <w:p>
      <w:pPr>
        <w:spacing w:after="240"/>
      </w:pPr>
      <w:r>
        <w:t>## ANALYSIS SUMMARY</w:t>
        <w:br/>
        <w:br/>
        <w:t>**Data Source:** Not provided</w:t>
        <w:br/>
        <w:t>**Analysis Date:** [CURRENT_DATE]</w:t>
        <w:br/>
        <w:t>**Category:** Event Management</w:t>
        <w:br/>
        <w:br/>
        <w:t>---</w:t>
        <w:br/>
        <w:br/>
        <w:t>## CURRENT RISK EXPOSURE</w:t>
        <w:br/>
        <w:br/>
        <w:t>The current risk exposure in the event management category is critically high, with a total spend at risk of $216,000. The overall risk score is 4.0 out of 4.0, indicating a critical level of risk across multiple dimensions, including supply chain, geographic, and supplier diversity risks. The concentration of 100% of the spend in the Americas region significantly heightens the vulnerability to regional disruptions, such as political instability or natural disasters, which could severely impact business operations. The dependency on a single supplier, Maritz Global Events, for the entire spend further exacerbates the risk, as any disruption in their service could halt event management activities entirely, leading to potential financial losses and reputational damage.</w:t>
        <w:br/>
        <w:br/>
        <w:t>---</w:t>
        <w:br/>
        <w:br/>
        <w:t>## RULE VIOLATION ANALYSIS</w:t>
        <w:br/>
        <w:br/>
        <w:t>The procurement process has violated several critical rules, which underscores the urgency for corrective action. The most significant violation is the regional concentration, with 100% of the spend concentrated in the Americas, exceeding the 40% threshold by 60%. This lack of geographic diversification exposes the company to significant risks from regional disruptions. Additionally, the single supplier dependency on Maritz Global Events, which accounts for 100% of the spend, violates the threshold of 60%, increasing the risk of supply chain disruptions. The minimum order quantity violation, with a requirement of 2.0 against a baseline of 0, suggests inefficiencies in procurement practices. Furthermore, the diverse supplier spend and innovation supplier ratio violations indicate a lack of engagement with diverse and innovative suppliers, potentially stifling innovation and inclusivity in the supply chain.</w:t>
        <w:br/>
        <w:br/>
        <w:t>---</w:t>
        <w:br/>
        <w:br/>
        <w:t>## SCENARIO ANALYSIS</w:t>
        <w:br/>
        <w:br/>
        <w:t>Several realistic disruption scenarios could severely impact the business. Firstly, a geopolitical event or trade restriction in the Americas could disrupt the supply chain, leading to delays or cancellations of events, resulting in financial losses and client dissatisfaction. Secondly, a natural disaster affecting the region could incapacitate the supplier's operations, halting event management services and causing significant operational disruptions. Lastly, a financial or operational failure at Maritz Global Events could lead to a sudden cessation of services, leaving the company without a backup supplier, which would necessitate urgent and potentially costly measures to secure alternative arrangements.</w:t>
        <w:br/>
        <w:br/>
        <w:t>---</w:t>
        <w:br/>
        <w:br/>
        <w:t>## RISK INTERDEPENDENCIES</w:t>
        <w:br/>
        <w:br/>
        <w:t>The interdependencies between supplier and geographic risks compound the overall risk exposure. The reliance on a single supplier within a concentrated geographic region means that any disruption affecting the region or the supplier will have a magnified impact on the business. This lack of diversification limits the company's ability to mitigate risks through alternative suppliers or regions, increasing the potential for significant operational and financial disruptions. The compounded risk from these interdependencies highlights the critical need for a diversified and resilient supply chain strategy.</w:t>
        <w:br/>
        <w:br/>
        <w:t>---</w:t>
        <w:br/>
        <w:br/>
        <w:t>## MITIGATION URGENCY</w:t>
        <w:br/>
        <w:br/>
        <w:t>Immediate action is required to mitigate these risks and safeguard the business against potential disruptions. Delaying action could lead to severe consequences, including financial losses, reputational damage, and operational inefficiencies. By diversifying the supplier base and expanding geographic reach, the company can reduce its vulnerability to regional and supplier-specific risks. Implementing a robust risk management strategy now will enhance supply chain resilience, ensure continuity of operations, and protect the company's interests in the long term. The urgency is underscored by the critical risk level and the significant rule violations, necessitating prompt and decisive action.</w:t>
      </w:r>
    </w:p>
    <w:p/>
    <w:p>
      <w:pPr>
        <w:pStyle w:val="Heading2"/>
      </w:pPr>
      <w:r>
        <w:rPr>
          <w:color w:val="003366"/>
        </w:rPr>
        <w:t>🤖 AI-GENERATED STRATEGIC RECOMMENDATIONS</w:t>
      </w:r>
    </w:p>
    <w:p>
      <w:pPr>
        <w:spacing w:after="240"/>
      </w:pPr>
      <w:r>
        <w:t>RECOMMENDATION RATIONALE:</w:t>
        <w:br/>
        <w:br/>
        <w:t>The recommended diversification strategy is based on:</w:t>
        <w:br/>
        <w:br/>
        <w:t>1. ACTIVATE NEW ALTERNATE SUPPLIER: This supplier is already qualified in our supplier database with proven quality ratings and delivery reliability. Activation requires minimal qualification effort compared to onboarding entirely new suppliers.</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 MARKET INTELLIGENCE</w:t>
      </w:r>
    </w:p>
    <w:p>
      <w:pPr>
        <w:spacing w:after="240"/>
      </w:pPr>
      <w:r>
        <w:t>The Event Management market continues to evolve with shifting global supply dynamics. Current sourcing</w:t>
        <w:br/>
        <w:t>is concentrated in USA,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Event Management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event management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