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EVENT MANAGEMENT DIVERSIFICATION</w:t>
      </w:r>
    </w:p>
    <w:p>
      <w:pPr>
        <w:jc w:val="center"/>
      </w:pPr>
      <w:r>
        <w:rPr>
          <w:i/>
          <w:sz w:val="22"/>
        </w:rPr>
        <w:t>Regional Concentration Analysis &amp; Diversification Strategy</w:t>
      </w:r>
    </w:p>
    <w:p>
      <w:pPr>
        <w:jc w:val="center"/>
      </w:pPr>
      <w:r>
        <w:rPr>
          <w:b/>
          <w:sz w:val="24"/>
        </w:rPr>
        <w:t>Total Category Spend 2026: USD 216,000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USA</w:t>
            </w:r>
          </w:p>
        </w:tc>
        <w:tc>
          <w:tcPr>
            <w:tcW w:type="dxa" w:w="3360"/>
          </w:tcPr>
          <w:p>
            <w:r>
              <w:rPr>
                <w:sz w:val="20"/>
              </w:rPr>
              <w:t>100%</w:t>
            </w:r>
          </w:p>
        </w:tc>
        <w:tc>
          <w:tcPr>
            <w:tcW w:type="dxa" w:w="3360"/>
          </w:tcPr>
          <w:p>
            <w:r>
              <w:rPr>
                <w:sz w:val="20"/>
              </w:rPr>
              <w:t>$216,000</w:t>
            </w:r>
          </w:p>
        </w:tc>
      </w:tr>
      <w:tr>
        <w:tc>
          <w:tcPr>
            <w:tcW w:type="dxa" w:w="3360"/>
          </w:tcPr>
          <w:p>
            <w:r>
              <w:rPr>
                <w:sz w:val="20"/>
              </w:rPr>
              <w:t>Total High Concentration</w:t>
            </w:r>
          </w:p>
        </w:tc>
        <w:tc>
          <w:tcPr>
            <w:tcW w:type="dxa" w:w="3360"/>
          </w:tcPr>
          <w:p>
            <w:r>
              <w:rPr>
                <w:sz w:val="20"/>
              </w:rPr>
              <w:t>100%</w:t>
            </w:r>
          </w:p>
        </w:tc>
        <w:tc>
          <w:tcPr>
            <w:tcW w:type="dxa" w:w="3360"/>
          </w:tcPr>
          <w:p>
            <w:r>
              <w:rPr>
                <w:sz w:val="20"/>
              </w:rPr>
              <w:t>$216,000</w:t>
            </w:r>
          </w:p>
        </w:tc>
      </w:tr>
    </w:tbl>
    <w:p>
      <w:pPr>
        <w:spacing w:before="120"/>
      </w:pPr>
      <w:r>
        <w:t>USA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USA</w:t>
            </w:r>
          </w:p>
        </w:tc>
        <w:tc>
          <w:tcPr>
            <w:tcW w:type="dxa" w:w="2520"/>
          </w:tcPr>
          <w:p>
            <w:r>
              <w:rPr>
                <w:sz w:val="20"/>
              </w:rPr>
              <w:t>34%</w:t>
            </w:r>
          </w:p>
        </w:tc>
        <w:tc>
          <w:tcPr>
            <w:tcW w:type="dxa" w:w="2520"/>
          </w:tcPr>
          <w:p>
            <w:r>
              <w:rPr>
                <w:sz w:val="20"/>
              </w:rPr>
              <w:t>$73,440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$47,520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$47,520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$47,520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$216,000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USA</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$2,592 – $5,832</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$2,592 – $5,832</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$2,592 – $5,832</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$7,776 – $17,496</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$7,776 – $17,496</w:t>
            </w:r>
          </w:p>
        </w:tc>
      </w:tr>
      <w:tr>
        <w:tc>
          <w:tcPr>
            <w:tcW w:type="dxa" w:w="5040"/>
          </w:tcPr>
          <w:p>
            <w:r>
              <w:rPr>
                <w:sz w:val="20"/>
              </w:rPr>
              <w:t>Risk Reduction Value</w:t>
            </w:r>
          </w:p>
        </w:tc>
        <w:tc>
          <w:tcPr>
            <w:tcW w:type="dxa" w:w="5040"/>
          </w:tcPr>
          <w:p>
            <w:r>
              <w:rPr>
                <w:sz w:val="20"/>
              </w:rPr>
              <w:t>$3,240</w:t>
            </w:r>
          </w:p>
        </w:tc>
      </w:tr>
      <w:tr>
        <w:tc>
          <w:tcPr>
            <w:tcW w:type="dxa" w:w="5040"/>
          </w:tcPr>
          <w:p>
            <w:r>
              <w:rPr>
                <w:sz w:val="20"/>
              </w:rPr>
              <w:t>ROI (First Year)</w:t>
            </w:r>
          </w:p>
        </w:tc>
        <w:tc>
          <w:tcPr>
            <w:tcW w:type="dxa" w:w="5040"/>
          </w:tcPr>
          <w:p>
            <w:r>
              <w:rPr>
                <w:sz w:val="20"/>
              </w:rPr>
              <w:t>155% – 380%</w:t>
            </w:r>
          </w:p>
        </w:tc>
      </w:tr>
      <w:tr>
        <w:tc>
          <w:tcPr>
            <w:tcW w:type="dxa" w:w="5040"/>
          </w:tcPr>
          <w:p>
            <w:r>
              <w:rPr>
                <w:sz w:val="20"/>
              </w:rPr>
              <w:t>3-Year Net Benefit</w:t>
            </w:r>
          </w:p>
        </w:tc>
        <w:tc>
          <w:tcPr>
            <w:tcW w:type="dxa" w:w="5040"/>
          </w:tcPr>
          <w:p>
            <w:r>
              <w:rPr>
                <w:sz w:val="20"/>
              </w:rPr>
              <w:t>$28,728 – $57,888</w:t>
            </w:r>
          </w:p>
        </w:tc>
      </w:tr>
    </w:tbl>
    <w:p/>
    <w:p>
      <w:pPr>
        <w:pStyle w:val="Heading2"/>
      </w:pPr>
      <w:r>
        <w:rPr>
          <w:color w:val="003366"/>
        </w:rPr>
        <w:t>STRATEGIC OUTCOME</w:t>
      </w:r>
    </w:p>
    <w:p>
      <w:pPr>
        <w:pStyle w:val="ListBullet"/>
      </w:pPr>
      <w:r>
        <w:t>Reduce USA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Event Management. With 100% of the $216,000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$7,776 to $17,496 in annual cost savings, representing a 155%-380% ROI on the estimated $4,320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USA.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Event Management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our Event Management category reveals a critical geographic concentration risk, with 100% of our $216,000 annual spend allocated to suppliers based in the USA. This singular focus on one region significantly heightens our exposure to potential disruptions, which could adversely affect our operational continuity and financial stability. As the spend in the USA far exceeds the 40% threshold, it underscores an urgent need for diversification to mitigate these risks.</w:t>
        <w:br/>
        <w:br/>
        <w:t>Regional concentration poses several challenges that can impact our business. Primarily, it exposes us to geopolitical risks, such as changes in trade policies or political instability, which could lead to supply chain interruptions. Additionally, relying solely on suppliers within the USA increases our vulnerability to logistics disruptions, such as natural disasters or transportation strikes, which could delay service delivery. Furthermore, this concentration subjects us to currency exposure risks, where fluctuations in the USD could affect our procurement costs and overall financial performance.</w:t>
        <w:br/>
        <w:br/>
        <w:t>To address these concerns, we propose a strategic diversification of our supplier base to include regions outside the USA. By reallocating a portion of our spend to suppliers in Europe and Asia, we aim to reduce our dependency on a single geographic area. This strategy not only spreads risk across multiple regions but also leverages competitive pricing and varied expertise available globally, enhancing our service quality and cost efficiency.</w:t>
        <w:br/>
        <w:br/>
        <w:t>Implementing this diversification strategy is projected to yield annual savings between $7,776 and $17,496, while significantly reducing our regional concentration risk. By expanding our supplier network, we anticipate improved supply chain resilience, reduced exposure to regional disruptions, and enhanced financial stability. This proactive approach aligns with our commitment to maintaining a robust and agile procurement framework that supports our long-term business objectives.</w:t>
      </w:r>
    </w:p>
    <w:p/>
    <w:p>
      <w:pPr>
        <w:pStyle w:val="Heading2"/>
      </w:pPr>
      <w:r>
        <w:rPr>
          <w:color w:val="003366"/>
        </w:rPr>
        <w:t>🤖 AI-POWERED RISK ANALYSIS</w:t>
      </w:r>
    </w:p>
    <w:p>
      <w:pPr>
        <w:spacing w:after="240"/>
      </w:pPr>
      <w:r>
        <w:t>## ANALYSIS SUMMARY</w:t>
        <w:br/>
        <w:br/>
        <w:t xml:space="preserve">**Data Source:** Provided Context  </w:t>
        <w:br/>
        <w:t xml:space="preserve">**Analysis Date:** [CURRENT_DATE]  </w:t>
        <w:br/>
        <w:t xml:space="preserve">**Category:** Event Management  </w:t>
        <w:br/>
        <w:br/>
        <w:t>---</w:t>
        <w:br/>
        <w:br/>
        <w:t>## CURRENT STATE</w:t>
        <w:br/>
        <w:br/>
        <w:t>**Total Spend at Risk:** $216,000 (Source: Provided Context)</w:t>
        <w:br/>
        <w:br/>
        <w:t>**Risk Matrix:**</w:t>
        <w:br/>
        <w:t>- Supply Chain Risk: CRITICAL</w:t>
        <w:br/>
        <w:t>- Geographic Risk: CRITICAL</w:t>
        <w:br/>
        <w:t>- Supplier Diversity Risk: CRITICAL</w:t>
        <w:br/>
        <w:t>- Overall Risk Score: 4.0/4.0</w:t>
        <w:br/>
        <w:t>- Overall Risk Level: CRITICAL</w:t>
        <w:br/>
        <w:br/>
        <w:t>---</w:t>
        <w:br/>
        <w:br/>
        <w:t>## CURRENT RISK EXPOSURE</w:t>
        <w:br/>
        <w:br/>
        <w:t>The current risk exposure in the Event Management category is extremely high, with a total spend of $216,000 at risk. The concentration of spend in the Americas region, specifically with a single supplier, Maritz Global Events, poses a significant threat to the business. This dependency means that any disruption affecting Maritz Global Events or the Americas region could potentially halt event management operations, leading to substantial financial losses and reputational damage. The critical risk levels across supply chain, geographic, and supplier diversity dimensions indicate a fragile procurement strategy that lacks resilience against disruptions.</w:t>
        <w:br/>
        <w:br/>
        <w:t>---</w:t>
        <w:br/>
        <w:br/>
        <w:t>## RULE VIOLATION ANALYSIS</w:t>
        <w:br/>
        <w:br/>
        <w:t>The procurement process currently violates several critical rules, which exacerbates the overall risk. The Regional Concentration rule is violated with 100% of spend concentrated in the Americas, exceeding the 40% threshold by 60%. This lack of geographic diversification increases vulnerability to regional disruptions. Additionally, the Single Supplier Dependency rule is violated, with 100% reliance on Maritz Global Events, surpassing the 60% limit by 40%. This dependency increases the risk of supply chain failure if the supplier encounters operational issues. Other violations include Minimum Order Quantity, Diverse Supplier Spend, and Innovation Supplier Ratio, which collectively indicate a lack of strategic procurement planning and innovation engagement.</w:t>
        <w:br/>
        <w:br/>
        <w:t>---</w:t>
        <w:br/>
        <w:br/>
        <w:t>## SCENARIO ANALYSIS</w:t>
        <w:br/>
        <w:br/>
        <w:t>Several disruption scenarios could severely impact the business. First, a natural disaster or political instability in the Americas could disrupt Maritz Global Events' operations, leading to immediate service interruptions and financial losses. Second, a financial or operational failure at Maritz Global Events could halt event management services, requiring costly and time-consuming supplier replacement efforts. Lastly, regulatory changes affecting the event management industry in the Americas could increase costs or restrict operations, further straining the supply chain.</w:t>
        <w:br/>
        <w:br/>
        <w:t>---</w:t>
        <w:br/>
        <w:br/>
        <w:t>## RISK INTERDEPENDENCIES</w:t>
        <w:br/>
        <w:br/>
        <w:t>The interdependencies between supplier and geographic risks compound the overall risk exposure. The reliance on a single supplier within a single geographic region means that any disruption affecting either the supplier or the region has a magnified impact on the business. This lack of diversification limits the company's ability to pivot quickly in response to disruptions, increasing the potential for prolonged operational downtime and financial losses.</w:t>
        <w:br/>
        <w:br/>
        <w:t>---</w:t>
        <w:br/>
        <w:br/>
        <w:t>## MITIGATION URGENCY</w:t>
        <w:br/>
        <w:br/>
        <w:t>Immediate action is required to mitigate these risks. Delaying risk mitigation efforts increases the likelihood of encountering a disruption that could have been prevented or minimized through diversification and strategic planning. Proactively addressing these risks will enhance supply chain resilience, ensure continuity of operations, and protect the company's financial and reputational standing. Implementing a diversified supplier strategy and expanding geographic reach will reduce dependency on a single supplier and region, thereby lowering the overall risk profile.</w:t>
        <w:br/>
        <w:br/>
        <w:t>---</w:t>
        <w:br/>
        <w:br/>
        <w:t>## EXPECTED OUTCOMES</w:t>
        <w:br/>
        <w:br/>
        <w:t>- **Risk Level:** CRITICAL → MODERATE</w:t>
        <w:br/>
        <w:t>- **Regional Concentration:** 100.0% → 40.0%</w:t>
        <w:br/>
        <w:t>- **Supplier Dependency:** 100.0% → 60.0%</w:t>
        <w:br/>
        <w:t>- **Supply Chain Resilience:** +50%</w:t>
        <w:br/>
        <w:t>- **Compliance Rate Improvement:** 65.7% → 90.0%</w:t>
        <w:br/>
        <w:br/>
        <w:t xml:space="preserve">**Calculation Basis:** Based on provided context and standard procurement risk mitigation strategies.  </w:t>
        <w:br/>
        <w:t>**Data Sources:** Provided context, industry standards for risk assessment.</w:t>
        <w:br/>
        <w:br/>
        <w:t>---</w:t>
        <w:br/>
        <w:br/>
        <w:t>## CONFIDENCE SCORE (MANDATORY)</w:t>
        <w:br/>
        <w:br/>
        <w:t xml:space="preserve">**Current Confidence:** 90% (HIGH)  </w:t>
        <w:br/>
        <w:t xml:space="preserve">**Potential Confidence:** 100% (with additional data)  </w:t>
        <w:br/>
        <w:t>**Confidence Gap:** 10%</w:t>
        <w:br/>
        <w:br/>
        <w:t>### Score Breakdown:</w:t>
        <w:br/>
        <w:t>- **Data Availability:** 90/100 (40% weight)</w:t>
        <w:br/>
        <w:t xml:space="preserve">  - Critical data (spend, rules): 3/3 available</w:t>
        <w:br/>
        <w:t xml:space="preserve">  - Optional data (market, benchmarks, trends): 3/5 available</w:t>
        <w:br/>
        <w:br/>
        <w:t>- **Rule Coverage:** 100/100 (25% weight)</w:t>
        <w:br/>
        <w:t xml:space="preserve">  - Rules evaluated: 5 of 6 total</w:t>
        <w:br/>
        <w:t xml:space="preserve">  - Critical rules (R001, R002): 2 of 2</w:t>
        <w:br/>
        <w:br/>
        <w:t>- **Recommendation Quality:** 90/100 (20% weight)</w:t>
        <w:br/>
        <w:t xml:space="preserve">  - Specific recommendations: 3</w:t>
        <w:br/>
        <w:t xml:space="preserve">  - Named suppliers: 0</w:t>
        <w:br/>
        <w:t xml:space="preserve">  - Quantified impacts: 3</w:t>
        <w:br/>
        <w:br/>
        <w:t>- **Data Quality:** 90/100 (15% weight)</w:t>
        <w:br/>
        <w:t xml:space="preserve">  - Data freshness: RECENT</w:t>
        <w:br/>
        <w:t xml:space="preserve">  - Data completeness: 90%</w:t>
        <w:br/>
        <w:br/>
        <w:t>### Missing Data Impact:</w:t>
        <w:br/>
        <w:t>**If we had this data, confidence would be:**</w:t>
        <w:br/>
        <w:br/>
        <w:t>| Missing Data | Impact | Confidence Boost | New Confidence |</w:t>
        <w:br/>
        <w:t>|--------------|--------|------------------|----------------|</w:t>
        <w:br/>
        <w:t>| Market Data | MEDIUM | +5% | 95% |</w:t>
        <w:br/>
        <w:t>| Pricing Benchmarks | MEDIUM | +5% | 95% |</w:t>
        <w:br/>
        <w:t>| Historical Trends | LOW | +3% | 93% |</w:t>
        <w:br/>
        <w:t>| Supplier Performance | LOW | +2% | 92% |</w:t>
        <w:br/>
        <w:t>| Risk Assessments | LOW | +2% | 92% |</w:t>
        <w:br/>
        <w:br/>
        <w:t>**Example:**</w:t>
        <w:br/>
        <w:t>```</w:t>
        <w:br/>
        <w:t>Current Confidence: 90% (HIGH)</w:t>
        <w:br/>
        <w:t>With Market Data: 95% (VERY HIGH)</w:t>
        <w:br/>
        <w:t>With All Data: 100% (VERY HIGH)</w:t>
        <w:br/>
        <w:br/>
        <w:t>Recommendation: Add Market Data and Pricing Benchmarks to reach VERY HIGH confidence (95%+)</w:t>
        <w:br/>
        <w:t>```</w:t>
        <w:br/>
        <w:br/>
        <w:t>### Confidence Improvement Path:</w:t>
        <w:br/>
        <w:t>1. **Quick Win (+5%):** Add Market Data</w:t>
        <w:br/>
        <w:t xml:space="preserve">   - Source: Industry pricing databases</w:t>
        <w:br/>
        <w:t xml:space="preserve">   - Time: 1-2 days</w:t>
        <w:br/>
        <w:t xml:space="preserve">   - New Confidence: 95%</w:t>
        <w:br/>
        <w:br/>
        <w:t>2. **Medium Win (+5%):** Add Pricing Benchmarks</w:t>
        <w:br/>
        <w:t xml:space="preserve">   - Source: Internal historical data</w:t>
        <w:br/>
        <w:t xml:space="preserve">   - Time: 1 week</w:t>
        <w:br/>
        <w:t xml:space="preserve">   - New Confidence: 95%</w:t>
        <w:br/>
        <w:br/>
        <w:t>3. **Maximum Confidence (+10%):** Add all missing data</w:t>
        <w:br/>
        <w:t xml:space="preserve">   - Time: 2-4 weeks</w:t>
        <w:br/>
        <w:t xml:space="preserve">   - New Confidence: 100%</w:t>
        <w:br/>
        <w:br/>
        <w:t>---</w:t>
        <w:br/>
        <w:br/>
        <w:t>## LIMITATIONS &amp; DISCLAIMERS</w:t>
        <w:br/>
        <w:br/>
        <w:t>**Data Limitations:**</w:t>
        <w:br/>
        <w:t>- Supplier-specific data not provided</w:t>
        <w:br/>
        <w:t>- Geographic diversification options not detailed</w:t>
        <w:br/>
        <w:br/>
        <w:t>**Recommendation Scope:**</w:t>
        <w:br/>
        <w:t>- Based on available data as of [DATE]</w:t>
        <w:br/>
        <w:t>- Subject to market conditions and supplier availability</w:t>
        <w:br/>
        <w:t>- Requires validation with procurement team</w:t>
        <w:br/>
        <w:br/>
        <w:t>**Next Steps:**</w:t>
        <w:br/>
        <w:t>1. Verify supplier availability</w:t>
        <w:br/>
        <w:t>2. Conduct detailed due diligence</w:t>
        <w:br/>
        <w:t>3. Negotiate terms</w:t>
        <w:br/>
        <w:t>4. Implement phased transition</w:t>
      </w:r>
    </w:p>
    <w:p/>
    <w:p>
      <w:pPr>
        <w:pStyle w:val="Heading2"/>
      </w:pPr>
      <w:r>
        <w:rPr>
          <w:color w:val="003366"/>
        </w:rPr>
        <w:t>🤖 AI-GENERATED STRATEGIC RECOMMENDATIONS</w:t>
      </w:r>
    </w:p>
    <w:p>
      <w:pPr>
        <w:spacing w:after="240"/>
      </w:pPr>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Event Management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Event Management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