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OFFICE SUPPLIES DIVERSIFICATION</w:t>
      </w:r>
    </w:p>
    <w:p>
      <w:pPr>
        <w:jc w:val="center"/>
      </w:pPr>
      <w:r>
        <w:rPr>
          <w:i/>
          <w:sz w:val="22"/>
        </w:rPr>
        <w:t>Supplier Concentration Analysis &amp; Diversification Strategy</w:t>
      </w:r>
    </w:p>
    <w:p>
      <w:pPr>
        <w:jc w:val="center"/>
      </w:pPr>
      <w:r>
        <w:rPr>
          <w:b/>
          <w:sz w:val="24"/>
        </w:rPr>
        <w:t>Total Category Spend 2026: USD 459,000</w:t>
      </w:r>
    </w:p>
    <w:p/>
    <w:p>
      <w:pPr>
        <w:pStyle w:val="Heading2"/>
      </w:pPr>
      <w:r>
        <w:rPr>
          <w:color w:val="003366"/>
        </w:rPr>
        <w:t>CURRENT STATE – SUPPLIER CONCENTRATION RISK</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2026 Original</w:t>
            </w:r>
          </w:p>
        </w:tc>
      </w:tr>
      <w:tr>
        <w:tc>
          <w:tcPr>
            <w:tcW w:type="dxa" w:w="5040"/>
          </w:tcPr>
          <w:p>
            <w:r>
              <w:rPr>
                <w:sz w:val="20"/>
              </w:rPr>
              <w:t>Supplier</w:t>
            </w:r>
          </w:p>
        </w:tc>
        <w:tc>
          <w:tcPr>
            <w:tcW w:type="dxa" w:w="5040"/>
          </w:tcPr>
          <w:p>
            <w:r>
              <w:rPr>
                <w:sz w:val="20"/>
              </w:rPr>
              <w:t>Staples</w:t>
            </w:r>
          </w:p>
        </w:tc>
      </w:tr>
      <w:tr>
        <w:tc>
          <w:tcPr>
            <w:tcW w:type="dxa" w:w="5040"/>
          </w:tcPr>
          <w:p>
            <w:r>
              <w:rPr>
                <w:sz w:val="20"/>
              </w:rPr>
              <w:t>Supplier Location</w:t>
            </w:r>
          </w:p>
        </w:tc>
        <w:tc>
          <w:tcPr>
            <w:tcW w:type="dxa" w:w="5040"/>
          </w:tcPr>
          <w:p>
            <w:r>
              <w:rPr>
                <w:sz w:val="20"/>
              </w:rPr>
              <w:t>USA</w:t>
            </w:r>
          </w:p>
        </w:tc>
      </w:tr>
      <w:tr>
        <w:tc>
          <w:tcPr>
            <w:tcW w:type="dxa" w:w="5040"/>
          </w:tcPr>
          <w:p>
            <w:r>
              <w:rPr>
                <w:sz w:val="20"/>
              </w:rPr>
              <w:t>Spend Share</w:t>
            </w:r>
          </w:p>
        </w:tc>
        <w:tc>
          <w:tcPr>
            <w:tcW w:type="dxa" w:w="5040"/>
          </w:tcPr>
          <w:p>
            <w:r>
              <w:rPr>
                <w:sz w:val="20"/>
              </w:rPr>
              <w:t>62% = USD 286,200</w:t>
            </w:r>
          </w:p>
        </w:tc>
      </w:tr>
      <w:tr>
        <w:tc>
          <w:tcPr>
            <w:tcW w:type="dxa" w:w="5040"/>
          </w:tcPr>
          <w:p>
            <w:r>
              <w:rPr>
                <w:sz w:val="20"/>
              </w:rPr>
              <w:t>Current Office Supplies Buying from Supplier</w:t>
            </w:r>
          </w:p>
        </w:tc>
        <w:tc>
          <w:tcPr>
            <w:tcW w:type="dxa" w:w="5040"/>
          </w:tcPr>
          <w:p>
            <w:r>
              <w:rPr>
                <w:sz w:val="20"/>
              </w:rPr>
              <w:t>Yes</w:t>
            </w:r>
          </w:p>
        </w:tc>
      </w:tr>
      <w:tr>
        <w:tc>
          <w:tcPr>
            <w:tcW w:type="dxa" w:w="5040"/>
          </w:tcPr>
          <w:p>
            <w:r>
              <w:rPr>
                <w:sz w:val="20"/>
              </w:rPr>
              <w:t>Alternate Supplier for Office Supplies</w:t>
            </w:r>
          </w:p>
        </w:tc>
        <w:tc>
          <w:tcPr>
            <w:tcW w:type="dxa" w:w="5040"/>
          </w:tcPr>
          <w:p>
            <w:r>
              <w:rPr>
                <w:sz w:val="20"/>
              </w:rPr>
              <w:t>None active today</w:t>
            </w:r>
          </w:p>
        </w:tc>
      </w:tr>
      <w:tr>
        <w:tc>
          <w:tcPr>
            <w:tcW w:type="dxa" w:w="5040"/>
          </w:tcPr>
          <w:p>
            <w:r>
              <w:rPr>
                <w:sz w:val="20"/>
              </w:rPr>
              <w:t>Key Risk</w:t>
            </w:r>
          </w:p>
        </w:tc>
        <w:tc>
          <w:tcPr>
            <w:tcW w:type="dxa" w:w="5040"/>
          </w:tcPr>
          <w:p>
            <w:r>
              <w:rPr>
                <w:sz w:val="20"/>
              </w:rPr>
              <w:t>High supplier concentration (62%) and Americas supply corridor dependency</w:t>
            </w:r>
          </w:p>
        </w:tc>
      </w:tr>
    </w:tbl>
    <w:p/>
    <w:p>
      <w:pPr>
        <w:pStyle w:val="Heading3"/>
      </w:pPr>
      <w:r>
        <w:rPr>
          <w:color w:val="003366"/>
        </w:rPr>
        <w:t>OVERALL RISK STATEMENT</w:t>
      </w:r>
    </w:p>
    <w:p>
      <w:pPr>
        <w:spacing w:after="240"/>
      </w:pPr>
      <w:r>
        <w:t xml:space="preserve">Our current office supplies procurement involves 2 suppliers, with Staples as the dominant supplier at 62% of total category spend (USD 286,200 of USD 459,000 in 2026). Other suppliers include: Office Depot (38%). All suppliers operate from USA. There are no other qualified Office Supplies suppliers in our approved supplier database. New supplier qualification will be required for diversification. </w:t>
        <w:br/>
        <w:br/>
        <w:t>This creates both a high supplier concentration risk and a correlated geographic concentration risk. It is recommended to identify and activate alternate suppliers to offset this dependency, introduce price competition, diversify geographic exposure, and enable alternate logistics routing, while continuing optimization and quarterly rebalancing.</w:t>
      </w:r>
    </w:p>
    <w:p/>
    <w:p>
      <w:pPr>
        <w:pStyle w:val="Heading2"/>
      </w:pPr>
      <w:r>
        <w:rPr>
          <w:color w:val="003366"/>
        </w:rPr>
        <w:t>SUPPLIER SHARE REDUCTION IMPACT (TARGET STATE)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Supplier</w:t>
            </w:r>
          </w:p>
        </w:tc>
        <w:tc>
          <w:tcPr>
            <w:tcW w:type="dxa" w:w="2520"/>
          </w:tcPr>
          <w:p>
            <w:r>
              <w:rPr>
                <w:b/>
                <w:sz w:val="20"/>
              </w:rPr>
              <w:t>Original Share</w:t>
            </w:r>
          </w:p>
        </w:tc>
        <w:tc>
          <w:tcPr>
            <w:tcW w:type="dxa" w:w="2520"/>
          </w:tcPr>
          <w:p>
            <w:r>
              <w:rPr>
                <w:b/>
                <w:sz w:val="20"/>
              </w:rPr>
              <w:t>New Target Cap</w:t>
            </w:r>
          </w:p>
        </w:tc>
        <w:tc>
          <w:tcPr>
            <w:tcW w:type="dxa" w:w="2520"/>
          </w:tcPr>
          <w:p>
            <w:r>
              <w:rPr>
                <w:b/>
                <w:sz w:val="20"/>
              </w:rPr>
              <w:t>Reduction in Concentration</w:t>
            </w:r>
          </w:p>
        </w:tc>
      </w:tr>
      <w:tr>
        <w:tc>
          <w:tcPr>
            <w:tcW w:type="dxa" w:w="2520"/>
          </w:tcPr>
          <w:p>
            <w:r>
              <w:rPr>
                <w:sz w:val="20"/>
              </w:rPr>
              <w:t>Staples</w:t>
            </w:r>
          </w:p>
        </w:tc>
        <w:tc>
          <w:tcPr>
            <w:tcW w:type="dxa" w:w="2520"/>
          </w:tcPr>
          <w:p>
            <w:r>
              <w:rPr>
                <w:sz w:val="20"/>
              </w:rPr>
              <w:t>62%</w:t>
            </w:r>
          </w:p>
        </w:tc>
        <w:tc>
          <w:tcPr>
            <w:tcW w:type="dxa" w:w="2520"/>
          </w:tcPr>
          <w:p>
            <w:r>
              <w:rPr>
                <w:sz w:val="20"/>
              </w:rPr>
              <w:t>55%</w:t>
            </w:r>
          </w:p>
        </w:tc>
        <w:tc>
          <w:tcPr>
            <w:tcW w:type="dxa" w:w="2520"/>
          </w:tcPr>
          <w:p>
            <w:r>
              <w:rPr>
                <w:sz w:val="20"/>
              </w:rPr>
              <w:t>62% → 55% = 11.9% reduction</w:t>
            </w:r>
          </w:p>
        </w:tc>
      </w:tr>
      <w:tr>
        <w:tc>
          <w:tcPr>
            <w:tcW w:type="dxa" w:w="2520"/>
          </w:tcPr>
          <w:p>
            <w:r>
              <w:rPr>
                <w:sz w:val="20"/>
              </w:rPr>
              <w:t>New Alternate Supplier</w:t>
            </w:r>
          </w:p>
        </w:tc>
        <w:tc>
          <w:tcPr>
            <w:tcW w:type="dxa" w:w="2520"/>
          </w:tcPr>
          <w:p>
            <w:r>
              <w:rPr>
                <w:sz w:val="20"/>
              </w:rPr>
              <w:t>0%</w:t>
            </w:r>
          </w:p>
        </w:tc>
        <w:tc>
          <w:tcPr>
            <w:tcW w:type="dxa" w:w="2520"/>
          </w:tcPr>
          <w:p>
            <w:r>
              <w:rPr>
                <w:sz w:val="20"/>
              </w:rPr>
              <w:t>10%</w:t>
            </w:r>
          </w:p>
        </w:tc>
        <w:tc>
          <w:tcPr>
            <w:tcW w:type="dxa" w:w="2520"/>
          </w:tcPr>
          <w:p>
            <w:r>
              <w:rPr>
                <w:sz w:val="20"/>
              </w:rPr>
              <w:t>Enables supplier competition + fallback</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2026</w:t>
            </w:r>
          </w:p>
        </w:tc>
        <w:tc>
          <w:tcPr>
            <w:tcW w:type="dxa" w:w="2520"/>
          </w:tcPr>
          <w:p>
            <w:r>
              <w:rPr>
                <w:b/>
                <w:sz w:val="20"/>
              </w:rPr>
              <w:t>New Target</w:t>
            </w:r>
          </w:p>
        </w:tc>
        <w:tc>
          <w:tcPr>
            <w:tcW w:type="dxa" w:w="2520"/>
          </w:tcPr>
          <w:p>
            <w:r>
              <w:rPr>
                <w:b/>
                <w:sz w:val="20"/>
              </w:rPr>
              <w:t>Net Reduction</w:t>
            </w:r>
          </w:p>
        </w:tc>
      </w:tr>
      <w:tr>
        <w:tc>
          <w:tcPr>
            <w:tcW w:type="dxa" w:w="2520"/>
          </w:tcPr>
          <w:p>
            <w:r>
              <w:rPr>
                <w:sz w:val="20"/>
              </w:rPr>
              <w:t>Americas Supply Corridor</w:t>
            </w:r>
          </w:p>
        </w:tc>
        <w:tc>
          <w:tcPr>
            <w:tcW w:type="dxa" w:w="2520"/>
          </w:tcPr>
          <w:p>
            <w:r>
              <w:rPr>
                <w:sz w:val="20"/>
              </w:rPr>
              <w:t>100%</w:t>
            </w:r>
          </w:p>
        </w:tc>
        <w:tc>
          <w:tcPr>
            <w:tcW w:type="dxa" w:w="2520"/>
          </w:tcPr>
          <w:p>
            <w:r>
              <w:rPr>
                <w:sz w:val="20"/>
              </w:rPr>
              <w:t>70–75%</w:t>
            </w:r>
          </w:p>
        </w:tc>
        <w:tc>
          <w:tcPr>
            <w:tcW w:type="dxa" w:w="2520"/>
          </w:tcPr>
          <w:p>
            <w:r>
              <w:rPr>
                <w:sz w:val="20"/>
              </w:rPr>
              <w:t>25–30%</w:t>
            </w:r>
          </w:p>
        </w:tc>
      </w:tr>
    </w:tbl>
    <w:p/>
    <w:p>
      <w:pPr>
        <w:pStyle w:val="Heading2"/>
      </w:pPr>
      <w:r>
        <w:rPr>
          <w:color w:val="003366"/>
        </w:rPr>
        <w:t>COST ADVANTAGE PROJECTION FROM ADDING NEW ALTERNATE SUPPLIER INTO OFFICE SUPPLIES PROCUREMENT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 of New Alternate Supplier Presence</w:t>
            </w:r>
          </w:p>
        </w:tc>
        <w:tc>
          <w:tcPr>
            <w:tcW w:type="dxa" w:w="3360"/>
          </w:tcPr>
          <w:p>
            <w:r>
              <w:rPr>
                <w:b/>
                <w:sz w:val="20"/>
              </w:rPr>
              <w:t>Advantage Driver</w:t>
            </w:r>
          </w:p>
        </w:tc>
        <w:tc>
          <w:tcPr>
            <w:tcW w:type="dxa" w:w="3360"/>
          </w:tcPr>
          <w:p>
            <w:r>
              <w:rPr>
                <w:b/>
                <w:sz w:val="20"/>
              </w:rPr>
              <w:t>Estimated Annual Cost Benefit (USD)</w:t>
            </w:r>
          </w:p>
        </w:tc>
      </w:tr>
      <w:tr>
        <w:tc>
          <w:tcPr>
            <w:tcW w:type="dxa" w:w="3360"/>
          </w:tcPr>
          <w:p>
            <w:r>
              <w:rPr>
                <w:sz w:val="20"/>
              </w:rPr>
              <w:t>India</w:t>
            </w:r>
          </w:p>
        </w:tc>
        <w:tc>
          <w:tcPr>
            <w:tcW w:type="dxa" w:w="3360"/>
          </w:tcPr>
          <w:p>
            <w:r>
              <w:rPr>
                <w:sz w:val="20"/>
              </w:rPr>
              <w:t>Cost-effective operations + skilled workforce</w:t>
            </w:r>
          </w:p>
        </w:tc>
        <w:tc>
          <w:tcPr>
            <w:tcW w:type="dxa" w:w="3360"/>
          </w:tcPr>
          <w:p>
            <w:r>
              <w:rPr>
                <w:sz w:val="20"/>
              </w:rPr>
              <w:t>$5,508 – $12,393</w:t>
            </w:r>
          </w:p>
        </w:tc>
      </w:tr>
      <w:tr>
        <w:tc>
          <w:tcPr>
            <w:tcW w:type="dxa" w:w="3360"/>
          </w:tcPr>
          <w:p>
            <w:r>
              <w:rPr>
                <w:sz w:val="20"/>
              </w:rPr>
              <w:t>China</w:t>
            </w:r>
          </w:p>
        </w:tc>
        <w:tc>
          <w:tcPr>
            <w:tcW w:type="dxa" w:w="3360"/>
          </w:tcPr>
          <w:p>
            <w:r>
              <w:rPr>
                <w:sz w:val="20"/>
              </w:rPr>
              <w:t>Manufacturing scale + supply chain efficiency</w:t>
            </w:r>
          </w:p>
        </w:tc>
        <w:tc>
          <w:tcPr>
            <w:tcW w:type="dxa" w:w="3360"/>
          </w:tcPr>
          <w:p>
            <w:r>
              <w:rPr>
                <w:sz w:val="20"/>
              </w:rPr>
              <w:t>$5,508 – $12,393</w:t>
            </w:r>
          </w:p>
        </w:tc>
      </w:tr>
      <w:tr>
        <w:tc>
          <w:tcPr>
            <w:tcW w:type="dxa" w:w="3360"/>
          </w:tcPr>
          <w:p>
            <w:r>
              <w:rPr>
                <w:sz w:val="20"/>
              </w:rPr>
              <w:t>Mexico</w:t>
            </w:r>
          </w:p>
        </w:tc>
        <w:tc>
          <w:tcPr>
            <w:tcW w:type="dxa" w:w="3360"/>
          </w:tcPr>
          <w:p>
            <w:r>
              <w:rPr>
                <w:sz w:val="20"/>
              </w:rPr>
              <w:t>Nearshoring benefits + trade agreements</w:t>
            </w:r>
          </w:p>
        </w:tc>
        <w:tc>
          <w:tcPr>
            <w:tcW w:type="dxa" w:w="3360"/>
          </w:tcPr>
          <w:p>
            <w:r>
              <w:rPr>
                <w:sz w:val="20"/>
              </w:rPr>
              <w:t>$5,508 – $12,393</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$16,524 – $37,179</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CRITICAL</w:t>
            </w:r>
          </w:p>
        </w:tc>
        <w:tc>
          <w:tcPr>
            <w:tcW w:type="dxa" w:w="3360"/>
          </w:tcPr>
          <w:p>
            <w:r>
              <w:rPr>
                <w:sz w:val="20"/>
              </w:rPr>
              <w:t>Single supplier dependency level</w:t>
            </w:r>
          </w:p>
        </w:tc>
      </w:tr>
      <w:tr>
        <w:tc>
          <w:tcPr>
            <w:tcW w:type="dxa" w:w="3360"/>
          </w:tcPr>
          <w:p>
            <w:r>
              <w:rPr>
                <w:sz w:val="20"/>
              </w:rPr>
              <w:t>Geographic Risk</w:t>
            </w:r>
          </w:p>
        </w:tc>
        <w:tc>
          <w:tcPr>
            <w:tcW w:type="dxa" w:w="3360"/>
          </w:tcPr>
          <w:p>
            <w:r>
              <w:rPr>
                <w:sz w:val="20"/>
              </w:rPr>
              <w:t>CRITICAL</w:t>
            </w:r>
          </w:p>
        </w:tc>
        <w:tc>
          <w:tcPr>
            <w:tcW w:type="dxa" w:w="3360"/>
          </w:tcPr>
          <w:p>
            <w:r>
              <w:rPr>
                <w:sz w:val="20"/>
              </w:rPr>
              <w:t>Regional concentration level</w:t>
            </w:r>
          </w:p>
        </w:tc>
      </w:tr>
      <w:tr>
        <w:tc>
          <w:tcPr>
            <w:tcW w:type="dxa" w:w="3360"/>
          </w:tcPr>
          <w:p>
            <w:r>
              <w:rPr>
                <w:sz w:val="20"/>
              </w:rPr>
              <w:t>Supplier Diversity Risk</w:t>
            </w:r>
          </w:p>
        </w:tc>
        <w:tc>
          <w:tcPr>
            <w:tcW w:type="dxa" w:w="3360"/>
          </w:tcPr>
          <w:p>
            <w:r>
              <w:rPr>
                <w:sz w:val="20"/>
              </w:rPr>
              <w:t>HIGH</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3.7/4.0</w:t>
            </w:r>
          </w:p>
        </w:tc>
        <w:tc>
          <w:tcPr>
            <w:tcW w:type="dxa" w:w="3360"/>
          </w:tcPr>
          <w:p>
            <w:r>
              <w:rPr>
                <w:sz w:val="20"/>
              </w:rPr>
              <w:t>CRITICAL</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$16,524 – $37,179</w:t>
            </w:r>
          </w:p>
        </w:tc>
      </w:tr>
      <w:tr>
        <w:tc>
          <w:tcPr>
            <w:tcW w:type="dxa" w:w="5040"/>
          </w:tcPr>
          <w:p>
            <w:r>
              <w:rPr>
                <w:sz w:val="20"/>
              </w:rPr>
              <w:t>Risk Reduction Value</w:t>
            </w:r>
          </w:p>
        </w:tc>
        <w:tc>
          <w:tcPr>
            <w:tcW w:type="dxa" w:w="5040"/>
          </w:tcPr>
          <w:p>
            <w:r>
              <w:rPr>
                <w:sz w:val="20"/>
              </w:rPr>
              <w:t>$6,311</w:t>
            </w:r>
          </w:p>
        </w:tc>
      </w:tr>
      <w:tr>
        <w:tc>
          <w:tcPr>
            <w:tcW w:type="dxa" w:w="5040"/>
          </w:tcPr>
          <w:p>
            <w:r>
              <w:rPr>
                <w:sz w:val="20"/>
              </w:rPr>
              <w:t>Implementation Cost</w:t>
            </w:r>
          </w:p>
        </w:tc>
        <w:tc>
          <w:tcPr>
            <w:tcW w:type="dxa" w:w="5040"/>
          </w:tcPr>
          <w:p>
            <w:r>
              <w:rPr>
                <w:sz w:val="20"/>
              </w:rPr>
              <w:t>$9,180</w:t>
            </w:r>
          </w:p>
        </w:tc>
      </w:tr>
      <w:tr>
        <w:tc>
          <w:tcPr>
            <w:tcW w:type="dxa" w:w="5040"/>
          </w:tcPr>
          <w:p>
            <w:r>
              <w:rPr>
                <w:sz w:val="20"/>
              </w:rPr>
              <w:t>ROI (First Year)</w:t>
            </w:r>
          </w:p>
        </w:tc>
        <w:tc>
          <w:tcPr>
            <w:tcW w:type="dxa" w:w="5040"/>
          </w:tcPr>
          <w:p>
            <w:r>
              <w:rPr>
                <w:sz w:val="20"/>
              </w:rPr>
              <w:t>149% – 374%</w:t>
            </w:r>
          </w:p>
        </w:tc>
      </w:tr>
      <w:tr>
        <w:tc>
          <w:tcPr>
            <w:tcW w:type="dxa" w:w="5040"/>
          </w:tcPr>
          <w:p>
            <w:r>
              <w:rPr>
                <w:sz w:val="20"/>
              </w:rPr>
              <w:t>Payback Period</w:t>
            </w:r>
          </w:p>
        </w:tc>
        <w:tc>
          <w:tcPr>
            <w:tcW w:type="dxa" w:w="5040"/>
          </w:tcPr>
          <w:p>
            <w:r>
              <w:rPr>
                <w:sz w:val="20"/>
              </w:rPr>
              <w:t>2.5 – 4.8 months</w:t>
            </w:r>
          </w:p>
        </w:tc>
      </w:tr>
      <w:tr>
        <w:tc>
          <w:tcPr>
            <w:tcW w:type="dxa" w:w="5040"/>
          </w:tcPr>
          <w:p>
            <w:r>
              <w:rPr>
                <w:sz w:val="20"/>
              </w:rPr>
              <w:t>3-Year Net Benefit</w:t>
            </w:r>
          </w:p>
        </w:tc>
        <w:tc>
          <w:tcPr>
            <w:tcW w:type="dxa" w:w="5040"/>
          </w:tcPr>
          <w:p>
            <w:r>
              <w:rPr>
                <w:sz w:val="20"/>
              </w:rPr>
              <w:t>$59,326 – $121,291</w:t>
            </w:r>
          </w:p>
        </w:tc>
      </w:tr>
    </w:tbl>
    <w:p/>
    <w:p>
      <w:pPr>
        <w:pStyle w:val="Heading2"/>
      </w:pPr>
      <w:r>
        <w:rPr>
          <w:color w:val="003366"/>
        </w:rPr>
        <w:t>SUPPLIER PERFORMANCE METRICS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20"/>
              </w:rPr>
              <w:t>Supplier</w:t>
            </w:r>
          </w:p>
        </w:tc>
        <w:tc>
          <w:tcPr>
            <w:tcW w:type="dxa" w:w="2016"/>
          </w:tcPr>
          <w:p>
            <w:r>
              <w:rPr>
                <w:b/>
                <w:sz w:val="20"/>
              </w:rPr>
              <w:t>Spend (USD)</w:t>
            </w:r>
          </w:p>
        </w:tc>
        <w:tc>
          <w:tcPr>
            <w:tcW w:type="dxa" w:w="2016"/>
          </w:tcPr>
          <w:p>
            <w:r>
              <w:rPr>
                <w:b/>
                <w:sz w:val="20"/>
              </w:rPr>
              <w:t>Quality Rating</w:t>
            </w:r>
          </w:p>
        </w:tc>
        <w:tc>
          <w:tcPr>
            <w:tcW w:type="dxa" w:w="2016"/>
          </w:tcPr>
          <w:p>
            <w:r>
              <w:rPr>
                <w:b/>
                <w:sz w:val="20"/>
              </w:rPr>
              <w:t>Delivery %</w:t>
            </w:r>
          </w:p>
        </w:tc>
        <w:tc>
          <w:tcPr>
            <w:tcW w:type="dxa" w:w="2016"/>
          </w:tcPr>
          <w:p>
            <w:r>
              <w:rPr>
                <w:b/>
                <w:sz w:val="20"/>
              </w:rPr>
              <w:t>Sustainability</w:t>
            </w:r>
          </w:p>
        </w:tc>
      </w:tr>
      <w:tr>
        <w:tc>
          <w:tcPr>
            <w:tcW w:type="dxa" w:w="2016"/>
          </w:tcPr>
          <w:p>
            <w:r>
              <w:rPr>
                <w:sz w:val="20"/>
              </w:rPr>
              <w:t>Staples</w:t>
            </w:r>
          </w:p>
        </w:tc>
        <w:tc>
          <w:tcPr>
            <w:tcW w:type="dxa" w:w="2016"/>
          </w:tcPr>
          <w:p>
            <w:r>
              <w:rPr>
                <w:sz w:val="20"/>
              </w:rPr>
              <w:t>$286,200</w:t>
            </w:r>
          </w:p>
        </w:tc>
        <w:tc>
          <w:tcPr>
            <w:tcW w:type="dxa" w:w="2016"/>
          </w:tcPr>
          <w:p>
            <w:r>
              <w:rPr>
                <w:sz w:val="20"/>
              </w:rPr>
              <w:t>4.5/5.0</w:t>
            </w:r>
          </w:p>
        </w:tc>
        <w:tc>
          <w:tcPr>
            <w:tcW w:type="dxa" w:w="2016"/>
          </w:tcPr>
          <w:p>
            <w:r>
              <w:rPr>
                <w:sz w:val="20"/>
              </w:rPr>
              <w:t>91%</w:t>
            </w:r>
          </w:p>
        </w:tc>
        <w:tc>
          <w:tcPr>
            <w:tcW w:type="dxa" w:w="2016"/>
          </w:tcPr>
          <w:p>
            <w:r>
              <w:rPr>
                <w:sz w:val="20"/>
              </w:rPr>
              <w:t>8.0/10</w:t>
            </w:r>
          </w:p>
        </w:tc>
      </w:tr>
      <w:tr>
        <w:tc>
          <w:tcPr>
            <w:tcW w:type="dxa" w:w="2016"/>
          </w:tcPr>
          <w:p>
            <w:r>
              <w:rPr>
                <w:sz w:val="20"/>
              </w:rPr>
              <w:t>Office Depot</w:t>
            </w:r>
          </w:p>
        </w:tc>
        <w:tc>
          <w:tcPr>
            <w:tcW w:type="dxa" w:w="2016"/>
          </w:tcPr>
          <w:p>
            <w:r>
              <w:rPr>
                <w:sz w:val="20"/>
              </w:rPr>
              <w:t>$172,800</w:t>
            </w:r>
          </w:p>
        </w:tc>
        <w:tc>
          <w:tcPr>
            <w:tcW w:type="dxa" w:w="2016"/>
          </w:tcPr>
          <w:p>
            <w:r>
              <w:rPr>
                <w:sz w:val="20"/>
              </w:rPr>
              <w:t>4.4/5.0</w:t>
            </w:r>
          </w:p>
        </w:tc>
        <w:tc>
          <w:tcPr>
            <w:tcW w:type="dxa" w:w="2016"/>
          </w:tcPr>
          <w:p>
            <w:r>
              <w:rPr>
                <w:sz w:val="20"/>
              </w:rPr>
              <w:t>89%</w:t>
            </w:r>
          </w:p>
        </w:tc>
        <w:tc>
          <w:tcPr>
            <w:tcW w:type="dxa" w:w="2016"/>
          </w:tcPr>
          <w:p>
            <w:r>
              <w:rPr>
                <w:sz w:val="20"/>
              </w:rPr>
              <w:t>8.0/10</w:t>
            </w:r>
          </w:p>
        </w:tc>
      </w:tr>
    </w:tbl>
    <w:p/>
    <w:p>
      <w:pPr>
        <w:pStyle w:val="Heading2"/>
      </w:pPr>
      <w:r>
        <w:rPr>
          <w:color w:val="003366"/>
        </w:rPr>
        <w:t>RULE COMPLIANCE STATUS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Value</w:t>
            </w:r>
          </w:p>
        </w:tc>
      </w:tr>
      <w:tr>
        <w:tc>
          <w:tcPr>
            <w:tcW w:type="dxa" w:w="5040"/>
          </w:tcPr>
          <w:p>
            <w:r>
              <w:rPr>
                <w:sz w:val="20"/>
              </w:rPr>
              <w:t>Overall Status</w:t>
            </w:r>
          </w:p>
        </w:tc>
        <w:tc>
          <w:tcPr>
            <w:tcW w:type="dxa" w:w="5040"/>
          </w:tcPr>
          <w:p>
            <w:r>
              <w:rPr>
                <w:sz w:val="20"/>
              </w:rPr>
              <w:t>CRITICAL</w:t>
            </w:r>
          </w:p>
        </w:tc>
      </w:tr>
      <w:tr>
        <w:tc>
          <w:tcPr>
            <w:tcW w:type="dxa" w:w="5040"/>
          </w:tcPr>
          <w:p>
            <w:r>
              <w:rPr>
                <w:sz w:val="20"/>
              </w:rPr>
              <w:t>Total Violations</w:t>
            </w:r>
          </w:p>
        </w:tc>
        <w:tc>
          <w:tcPr>
            <w:tcW w:type="dxa" w:w="5040"/>
          </w:tcPr>
          <w:p>
            <w:r>
              <w:rPr>
                <w:sz w:val="20"/>
              </w:rPr>
              <w:t>12</w:t>
            </w:r>
          </w:p>
        </w:tc>
      </w:tr>
      <w:tr>
        <w:tc>
          <w:tcPr>
            <w:tcW w:type="dxa" w:w="5040"/>
          </w:tcPr>
          <w:p>
            <w:r>
              <w:rPr>
                <w:sz w:val="20"/>
              </w:rPr>
              <w:t>Total Warnings</w:t>
            </w:r>
          </w:p>
        </w:tc>
        <w:tc>
          <w:tcPr>
            <w:tcW w:type="dxa" w:w="5040"/>
          </w:tcPr>
          <w:p>
            <w:r>
              <w:rPr>
                <w:sz w:val="20"/>
              </w:rPr>
              <w:t>0</w:t>
            </w:r>
          </w:p>
        </w:tc>
      </w:tr>
      <w:tr>
        <w:tc>
          <w:tcPr>
            <w:tcW w:type="dxa" w:w="5040"/>
          </w:tcPr>
          <w:p>
            <w:r>
              <w:rPr>
                <w:sz w:val="20"/>
              </w:rPr>
              <w:t>Compliance Rate</w:t>
            </w:r>
          </w:p>
        </w:tc>
        <w:tc>
          <w:tcPr>
            <w:tcW w:type="dxa" w:w="5040"/>
          </w:tcPr>
          <w:p>
            <w:r>
              <w:rPr>
                <w:sz w:val="20"/>
              </w:rPr>
              <w:t>66%</w:t>
            </w:r>
          </w:p>
        </w:tc>
      </w:tr>
    </w:tbl>
    <w:p/>
    <w:p>
      <w:r>
        <w:rPr>
          <w:b/>
        </w:rPr>
        <w:t>Violations Detected:</w:t>
      </w:r>
    </w:p>
    <w:p>
      <w:pPr>
        <w:pStyle w:val="ListBullet"/>
      </w:pPr>
      <w:r>
        <w:t>R001: Regional Concentration</w:t>
      </w:r>
    </w:p>
    <w:p>
      <w:pPr>
        <w:pStyle w:val="ListBullet"/>
      </w:pPr>
      <w:r>
        <w:t>R003: Single Supplier Dependency</w:t>
      </w:r>
    </w:p>
    <w:p>
      <w:pPr>
        <w:pStyle w:val="ListBullet"/>
      </w:pPr>
      <w:r>
        <w:t>R012: Minimum Order Quantity</w:t>
      </w:r>
    </w:p>
    <w:p>
      <w:pPr>
        <w:pStyle w:val="ListBullet"/>
      </w:pPr>
      <w:r>
        <w:t>R015: Diverse Supplier Spend</w:t>
      </w:r>
    </w:p>
    <w:p>
      <w:pPr>
        <w:pStyle w:val="ListBullet"/>
      </w:pPr>
      <w:r>
        <w:t>R016: Innovation Supplier Ratio</w:t>
      </w:r>
    </w:p>
    <w:p/>
    <w:p>
      <w:pPr>
        <w:pStyle w:val="Heading2"/>
      </w:pPr>
      <w:r>
        <w:rPr>
          <w:color w:val="003366"/>
        </w:rPr>
        <w:t>STRATEGIC OUTCOME</w:t>
      </w:r>
    </w:p>
    <w:p>
      <w:pPr>
        <w:pStyle w:val="ListBullet"/>
      </w:pPr>
      <w:r>
        <w:t>Reduce single-supplier concentration from 62% to 55% in Phase 1</w:t>
      </w:r>
    </w:p>
    <w:p>
      <w:pPr>
        <w:pStyle w:val="ListBullet"/>
      </w:pPr>
      <w:r>
        <w:t>Activate 10% of spend via new qualified suppliers with multi-region presence</w:t>
      </w:r>
    </w:p>
    <w:p>
      <w:pPr>
        <w:pStyle w:val="ListBullet"/>
      </w:pPr>
      <w:r>
        <w:t>Improve pricing leverage through supplier competition</w:t>
      </w:r>
    </w:p>
    <w:p>
      <w:pPr>
        <w:pStyle w:val="ListBullet"/>
      </w:pPr>
      <w:r>
        <w:t>Reduce americas supply corridor risk by ~25%</w:t>
      </w:r>
    </w:p>
    <w:p>
      <w:pPr>
        <w:pStyle w:val="ListBullet"/>
      </w:pPr>
      <w:r>
        <w:t>Achieve estimated annual cost advantage of USD 16,524–37,179 while improving supply continuity</w:t>
      </w:r>
    </w:p>
    <w:p/>
    <w:p>
      <w:pPr>
        <w:pStyle w:val="Heading2"/>
      </w:pPr>
      <w:r>
        <w:rPr>
          <w:color w:val="003366"/>
        </w:rPr>
        <w:t>WHY THIS MATTERS</w:t>
      </w:r>
    </w:p>
    <w:p>
      <w:r>
        <w:t xml:space="preserve">This analysis reveals a high supplier concentration issue in Office Supplies. With 62% of spend concentrated with one supplier, the organization faces significant vulnerability to supply disruptions, limited negotiating leverage, and reduced ability to respond to market changes. </w:t>
        <w:br/>
        <w:br/>
        <w:t>This matters because: (1) Supply chain resilience is now a board-level priority, (2) Procurement concentration directly impacts business continuity risk profiles, (3) Diversification typically yields 5-15% cost improvements through competitive pressure, and (4) proactive action recommended to maintain competitive procurement operations.</w:t>
      </w:r>
    </w:p>
    <w:p/>
    <w:p>
      <w:pPr>
        <w:pStyle w:val="Heading2"/>
      </w:pPr>
      <w:r>
        <w:rPr>
          <w:color w:val="003366"/>
        </w:rPr>
        <w:t>BUSINESS JUSTIFICATION</w:t>
      </w:r>
    </w:p>
    <w:p>
      <w:r>
        <w:t>BUSINESS CASE JUSTIFICATION:</w:t>
        <w:br/>
        <w:br/>
        <w:t>1. FINANCIAL RETURN: The proposed diversification is projected to deliver $16,524 to $37,179 in annual cost savings, representing a 149%-374% ROI on the estimated $9,180 implementation investment.</w:t>
        <w:br/>
        <w:br/>
        <w:t>2. RISK MITIGATION: Current risk level is rated CRITICAL. Reducing concentration by 7 percentage points will significantly lower supply chain vulnerability, improve business continuity, and reduce exposure to single-source disruptions.</w:t>
        <w:br/>
        <w:br/>
        <w:t>3. STRATEGIC VALUE: Beyond direct savings, diversification enables: (a) Improved negotiating leverage with existing suppliers, (b) Access to innovation from multiple sources, (c) Flexibility to respond to demand changes, and (d) Alignment with enterprise risk management policies.</w:t>
      </w:r>
    </w:p>
    <w:p/>
    <w:p>
      <w:pPr>
        <w:pStyle w:val="Heading2"/>
      </w:pPr>
      <w:r>
        <w:rPr>
          <w:color w:val="003366"/>
        </w:rPr>
        <w:t>RISK ANALYSIS</w:t>
      </w:r>
    </w:p>
    <w:p>
      <w:r>
        <w:t>RISK ANALYSIS REASONING:</w:t>
        <w:br/>
        <w:br/>
        <w:t>• SUPPLIER RISK (HIGH): At 62% concentration, the dominant supplier has excessive market power. This limits negotiating leverage and creates dependency.</w:t>
        <w:br/>
        <w:br/>
        <w:t>• GEOGRAPHIC RISK (HIGH): 100% of spend is concentrated in USA. This exposes the supply chain to regional disruptions including: natural disasters, political instability, trade policy changes, and logistics bottlenecks.</w:t>
        <w:br/>
        <w:br/>
        <w:t>• DIVERSITY RISK (CRITICAL): Only 2 supplier(s) active. Limited supplier pool means no fallback options during disruptions and insufficient competition to drive optimal pricing.</w:t>
      </w:r>
    </w:p>
    <w:p/>
    <w:p>
      <w:pPr>
        <w:pStyle w:val="Heading2"/>
      </w:pPr>
      <w:r>
        <w:rPr>
          <w:color w:val="003366"/>
        </w:rPr>
        <w:t>RECOMMENDATION RATIONALE</w:t>
      </w:r>
    </w:p>
    <w:p>
      <w:r>
        <w:t>RECOMMENDATION RATIONALE:</w:t>
        <w:br/>
        <w:br/>
        <w:t>The recommended diversification strategy is based on:</w:t>
        <w:br/>
        <w:br/>
        <w:t>1. IDENTIFY ALTERNATE SUPPLIERS: New supplier qualification should prioritize candidates with existing certifications, proven track records, and geographic diversity from current sources.</w:t>
        <w:br/>
        <w:br/>
        <w:t xml:space="preserve">2. REGIONAL DIVERSIFICATION TO INDIA, CHINA: These regions are identified as optimal for Office Supplies based on: </w:t>
        <w:br/>
        <w:t xml:space="preserve">   • India: Cost-effective operations + skilled workforce</w:t>
        <w:br/>
        <w:t xml:space="preserve">   • China: Manufacturing scale + supply chain efficiency</w:t>
        <w:br/>
        <w:br/>
        <w:t>3. PHASED IMPLEMENTATION: The 26-week timeline allows for: controlled pilot testing, performance validation before scale-up, and risk mitigation through gradual volume transitions rather than abrupt supplier changes that could disrupt operations.</w:t>
      </w:r>
    </w:p>
    <w:p/>
    <w:p>
      <w:pPr>
        <w:pStyle w:val="Heading2"/>
      </w:pPr>
      <w:r>
        <w:rPr>
          <w:color w:val="003366"/>
        </w:rPr>
        <w:t>🤖 AI-GENERATED EXECUTIVE SUMMARY</w:t>
      </w:r>
    </w:p>
    <w:p>
      <w:pPr>
        <w:spacing w:after="240"/>
      </w:pPr>
      <w:r>
        <w:t>Our Office Supplies procurement faces a critical supplier concentration challenge.</w:t>
        <w:br/>
        <w:t>Staples currently controls 62% of our $459,000 annual category spend,</w:t>
        <w:br/>
        <w:t>creating significant supply chain vulnerability and limiting our negotiating leverage.</w:t>
        <w:br/>
        <w:br/>
        <w:t>This concentration exposes the organization to substantial business continuity risk. A single</w:t>
        <w:br/>
        <w:t>disruption—whether from production issues, logistics failures, or commercial disputes—could</w:t>
        <w:br/>
        <w:t>severely impact operations. Additionally, the lack of competitive tension in our supplier base</w:t>
        <w:br/>
        <w:t>likely results in suboptimal pricing.</w:t>
        <w:br/>
        <w:br/>
        <w:t>The recommended diversification strategy targets a reduction of Staples's share to</w:t>
        <w:br/>
        <w:t>55-60%, while activating qualified alternate suppliers. This balanced approach maintains</w:t>
        <w:br/>
        <w:t>operational stability while introducing healthy competition.</w:t>
        <w:br/>
        <w:br/>
        <w:t>Implementation is projected to deliver $16,524 to</w:t>
        <w:br/>
        <w:t>$37,179 in annual cost savings with an ROI of</w:t>
        <w:br/>
        <w:t>149%-374%,</w:t>
        <w:br/>
        <w:t>while significantly reducing supply chain risk exposure.</w:t>
      </w:r>
    </w:p>
    <w:p/>
    <w:p>
      <w:pPr>
        <w:pStyle w:val="Heading2"/>
      </w:pPr>
      <w:r>
        <w:rPr>
          <w:color w:val="003366"/>
        </w:rPr>
        <w:t>🤖 AI-POWERED RISK ANALYSIS</w:t>
      </w:r>
    </w:p>
    <w:p>
      <w:pPr>
        <w:spacing w:after="240"/>
      </w:pPr>
      <w:r>
        <w:t>RISK ANALYSIS REASONING:</w:t>
        <w:br/>
        <w:br/>
        <w:t>• SUPPLIER RISK (HIGH): At 62% concentration, the dominant supplier has excessive market power. This limits negotiating leverage and creates dependency.</w:t>
        <w:br/>
        <w:br/>
        <w:t>• GEOGRAPHIC RISK (HIGH): 100% of spend is concentrated in a single region. This exposes the supply chain to regional disruptions including: natural disasters, political instability, trade policy changes, and logistics bottlenecks.</w:t>
        <w:br/>
        <w:br/>
        <w:t>• DIVERSITY RISK (CRITICAL): Only 2 supplier(s) active. Limited supplier pool means no fallback options during disruptions and insufficient competition to drive optimal pricing.</w:t>
      </w:r>
    </w:p>
    <w:p/>
    <w:p>
      <w:pPr>
        <w:pStyle w:val="Heading2"/>
      </w:pPr>
      <w:r>
        <w:rPr>
          <w:color w:val="003366"/>
        </w:rPr>
        <w:t>🤖 AI-GENERATED STRATEGIC RECOMMENDATIONS</w:t>
      </w:r>
    </w:p>
    <w:p>
      <w:pPr>
        <w:spacing w:after="240"/>
      </w:pPr>
      <w:r>
        <w:t>RECOMMENDATION RATIONALE:</w:t>
        <w:br/>
        <w:br/>
        <w:t>The recommended diversification strategy is based on:</w:t>
        <w:br/>
        <w:br/>
        <w:t>1. ACTIVATE NEW ALTERNATE SUPPLIER: This supplier is already qualified in our supplier database with proven quality ratings and delivery reliability. Activation requires minimal qualification effort compared to onboarding entirely new suppliers.</w:t>
        <w:br/>
        <w:br/>
        <w:t>3. PHASED IMPLEMENTATION: The 26-week timeline allows for: controlled pilot testing, performance validation before scale-up, and risk mitigation through gradual volume transitions rather than abrupt supplier changes that could disrupt operations.</w:t>
      </w:r>
    </w:p>
    <w:p/>
    <w:p>
      <w:pPr>
        <w:pStyle w:val="Heading2"/>
      </w:pPr>
      <w:r>
        <w:rPr>
          <w:color w:val="003366"/>
        </w:rPr>
        <w:t>🤖 AI MARKET INTELLIGENCE</w:t>
      </w:r>
    </w:p>
    <w:p>
      <w:pPr>
        <w:spacing w:after="240"/>
      </w:pPr>
      <w:r>
        <w:t>The Office Supplies market continues to evolve with shifting global supply dynamics. Current sourcing</w:t>
        <w:br/>
        <w:t>is concentrated in USA, India, China, representing the primary supply corridor for this category.</w:t>
        <w:br/>
        <w:br/>
        <w:t>Regional analysis indicates opportunities for optimization. India, China, Mexico represent emerging</w:t>
        <w:br/>
        <w:t>sourcing alternatives with competitive cost structures. These regions offer potential savings</w:t>
        <w:br/>
        <w:t>of 8%-18% compared to traditional sourcing locations, while maintaining</w:t>
        <w:br/>
        <w:t>quality standards aligned with enterprise requirements.</w:t>
        <w:br/>
        <w:br/>
        <w:t>The supplier landscape in this category ranges from large multinational providers to specialized</w:t>
        <w:br/>
        <w:t>regional players. Market consolidation trends suggest the importance of securing strategic</w:t>
        <w:br/>
        <w:t>supplier relationships while maintaining competitive tension through multi-sourcing strategies.</w:t>
        <w:br/>
        <w:br/>
        <w:t>Key considerations for Office Supplies sourcing include total cost of ownership (including logistics),</w:t>
        <w:br/>
        <w:t>supplier reliability metrics, quality certification requirements, and alignment with sustainability</w:t>
        <w:br/>
        <w:t>objectives. A balanced approach across multiple regions and suppliers optimizes both cost and</w:t>
        <w:br/>
        <w:t>risk exposure.</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Activate office supplies with qualified alternate suppliers</w:t>
      </w:r>
    </w:p>
    <w:p>
      <w:r>
        <w:t>2. Initiate 8–12 week pilot allocations</w:t>
      </w:r>
    </w:p>
    <w:p>
      <w:r>
        <w:t>3. Benchmark pricing and delivery quarterly</w:t>
      </w:r>
    </w:p>
    <w:p>
      <w:r>
        <w:t>4. Continue phased reduction based on pilot performance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