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OFFICE SUPPLIES DIVERSIFICATION</w:t>
      </w:r>
    </w:p>
    <w:p>
      <w:pPr>
        <w:jc w:val="center"/>
      </w:pPr>
      <w:r>
        <w:rPr>
          <w:i/>
          <w:sz w:val="22"/>
        </w:rPr>
        <w:t>Supplier Concentration Analysis &amp; Diversification Strategy</w:t>
      </w:r>
    </w:p>
    <w:p>
      <w:pPr>
        <w:jc w:val="center"/>
      </w:pPr>
      <w:r>
        <w:rPr>
          <w:b/>
          <w:sz w:val="24"/>
        </w:rPr>
        <w:t>Total Category Spend 2026: USD 459,000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Staples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62% = USD 286,200</w:t>
            </w:r>
          </w:p>
        </w:tc>
      </w:tr>
      <w:tr>
        <w:tc>
          <w:tcPr>
            <w:tcW w:type="dxa" w:w="5040"/>
          </w:tcPr>
          <w:p>
            <w:r>
              <w:rPr>
                <w:sz w:val="20"/>
              </w:rPr>
              <w:t>Current Office Supplies Buying from Supplier</w:t>
            </w:r>
          </w:p>
        </w:tc>
        <w:tc>
          <w:tcPr>
            <w:tcW w:type="dxa" w:w="5040"/>
          </w:tcPr>
          <w:p>
            <w:r>
              <w:rPr>
                <w:sz w:val="20"/>
              </w:rPr>
              <w:t>Yes</w:t>
            </w:r>
          </w:p>
        </w:tc>
      </w:tr>
      <w:tr>
        <w:tc>
          <w:tcPr>
            <w:tcW w:type="dxa" w:w="5040"/>
          </w:tcPr>
          <w:p>
            <w:r>
              <w:rPr>
                <w:sz w:val="20"/>
              </w:rPr>
              <w:t>Alternate Supplier for Office Supplies</w:t>
            </w:r>
          </w:p>
        </w:tc>
        <w:tc>
          <w:tcPr>
            <w:tcW w:type="dxa" w:w="5040"/>
          </w:tcPr>
          <w:p>
            <w:r>
              <w:rPr>
                <w:sz w:val="20"/>
              </w:rPr>
              <w:t>None active today</w:t>
            </w:r>
          </w:p>
        </w:tc>
      </w:tr>
      <w:tr>
        <w:tc>
          <w:tcPr>
            <w:tcW w:type="dxa" w:w="5040"/>
          </w:tcPr>
          <w:p>
            <w:r>
              <w:rPr>
                <w:sz w:val="20"/>
              </w:rPr>
              <w:t>Key Risk</w:t>
            </w:r>
          </w:p>
        </w:tc>
        <w:tc>
          <w:tcPr>
            <w:tcW w:type="dxa" w:w="5040"/>
          </w:tcPr>
          <w:p>
            <w:r>
              <w:rPr>
                <w:sz w:val="20"/>
              </w:rPr>
              <w:t>High supplier concentration (62%) and Americas supply corridor dependency</w:t>
            </w:r>
          </w:p>
        </w:tc>
      </w:tr>
    </w:tbl>
    <w:p/>
    <w:p>
      <w:pPr>
        <w:pStyle w:val="Heading3"/>
      </w:pPr>
      <w:r>
        <w:rPr>
          <w:color w:val="003366"/>
        </w:rPr>
        <w:t>OVERALL RISK STATEMENT</w:t>
      </w:r>
    </w:p>
    <w:p>
      <w:pPr>
        <w:spacing w:after="240"/>
      </w:pPr>
      <w:r>
        <w:t xml:space="preserve">Our current office supplies procurement involves 2 suppliers, with Staples as the dominant supplier at 62% of total category spend (USD 286,200 of USD 459,000 in 2026). Other suppliers include: Office Depot (38%). All suppliers operate from USA. There are no other qualified Office Supplies suppliers in our approved supplier database. New supplier qualification will be required for diversification. </w:t>
        <w:br/>
        <w:br/>
        <w:t>This creates both a high supplier concentration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Staples</w:t>
            </w:r>
          </w:p>
        </w:tc>
        <w:tc>
          <w:tcPr>
            <w:tcW w:type="dxa" w:w="2520"/>
          </w:tcPr>
          <w:p>
            <w:r>
              <w:rPr>
                <w:sz w:val="20"/>
              </w:rPr>
              <w:t>62%</w:t>
            </w:r>
          </w:p>
        </w:tc>
        <w:tc>
          <w:tcPr>
            <w:tcW w:type="dxa" w:w="2520"/>
          </w:tcPr>
          <w:p>
            <w:r>
              <w:rPr>
                <w:sz w:val="20"/>
              </w:rPr>
              <w:t>55%</w:t>
            </w:r>
          </w:p>
        </w:tc>
        <w:tc>
          <w:tcPr>
            <w:tcW w:type="dxa" w:w="2520"/>
          </w:tcPr>
          <w:p>
            <w:r>
              <w:rPr>
                <w:sz w:val="20"/>
              </w:rPr>
              <w:t>62% → 55% = 11.9%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OFFICE SUPPLIES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$5,508 – $12,393</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$5,508 – $12,393</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$5,508 – $12,393</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$16,524 – $37,179</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$16,524 – $37,179</w:t>
            </w:r>
          </w:p>
        </w:tc>
      </w:tr>
      <w:tr>
        <w:tc>
          <w:tcPr>
            <w:tcW w:type="dxa" w:w="5040"/>
          </w:tcPr>
          <w:p>
            <w:r>
              <w:rPr>
                <w:sz w:val="20"/>
              </w:rPr>
              <w:t>Risk Reduction Value</w:t>
            </w:r>
          </w:p>
        </w:tc>
        <w:tc>
          <w:tcPr>
            <w:tcW w:type="dxa" w:w="5040"/>
          </w:tcPr>
          <w:p>
            <w:r>
              <w:rPr>
                <w:sz w:val="20"/>
              </w:rPr>
              <w:t>$6,311</w:t>
            </w:r>
          </w:p>
        </w:tc>
      </w:tr>
      <w:tr>
        <w:tc>
          <w:tcPr>
            <w:tcW w:type="dxa" w:w="5040"/>
          </w:tcPr>
          <w:p>
            <w:r>
              <w:rPr>
                <w:sz w:val="20"/>
              </w:rPr>
              <w:t>Implementation Cost</w:t>
            </w:r>
          </w:p>
        </w:tc>
        <w:tc>
          <w:tcPr>
            <w:tcW w:type="dxa" w:w="5040"/>
          </w:tcPr>
          <w:p>
            <w:r>
              <w:rPr>
                <w:sz w:val="20"/>
              </w:rPr>
              <w:t>$9,180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$59,326 – $121,291</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Staples</w:t>
            </w:r>
          </w:p>
        </w:tc>
        <w:tc>
          <w:tcPr>
            <w:tcW w:type="dxa" w:w="2016"/>
          </w:tcPr>
          <w:p>
            <w:r>
              <w:rPr>
                <w:sz w:val="20"/>
              </w:rPr>
              <w:t>$286,200</w:t>
            </w:r>
          </w:p>
        </w:tc>
        <w:tc>
          <w:tcPr>
            <w:tcW w:type="dxa" w:w="2016"/>
          </w:tcPr>
          <w:p>
            <w:r>
              <w:rPr>
                <w:sz w:val="20"/>
              </w:rPr>
              <w:t>4.5/5.0</w:t>
            </w:r>
          </w:p>
        </w:tc>
        <w:tc>
          <w:tcPr>
            <w:tcW w:type="dxa" w:w="2016"/>
          </w:tcPr>
          <w:p>
            <w:r>
              <w:rPr>
                <w:sz w:val="20"/>
              </w:rPr>
              <w:t>91%</w:t>
            </w:r>
          </w:p>
        </w:tc>
        <w:tc>
          <w:tcPr>
            <w:tcW w:type="dxa" w:w="2016"/>
          </w:tcPr>
          <w:p>
            <w:r>
              <w:rPr>
                <w:sz w:val="20"/>
              </w:rPr>
              <w:t>8.0/10</w:t>
            </w:r>
          </w:p>
        </w:tc>
      </w:tr>
      <w:tr>
        <w:tc>
          <w:tcPr>
            <w:tcW w:type="dxa" w:w="2016"/>
          </w:tcPr>
          <w:p>
            <w:r>
              <w:rPr>
                <w:sz w:val="20"/>
              </w:rPr>
              <w:t>Office Depot</w:t>
            </w:r>
          </w:p>
        </w:tc>
        <w:tc>
          <w:tcPr>
            <w:tcW w:type="dxa" w:w="2016"/>
          </w:tcPr>
          <w:p>
            <w:r>
              <w:rPr>
                <w:sz w:val="20"/>
              </w:rPr>
              <w:t>$172,800</w:t>
            </w:r>
          </w:p>
        </w:tc>
        <w:tc>
          <w:tcPr>
            <w:tcW w:type="dxa" w:w="2016"/>
          </w:tcPr>
          <w:p>
            <w:r>
              <w:rPr>
                <w:sz w:val="20"/>
              </w:rPr>
              <w:t>4.4/5.0</w:t>
            </w:r>
          </w:p>
        </w:tc>
        <w:tc>
          <w:tcPr>
            <w:tcW w:type="dxa" w:w="2016"/>
          </w:tcPr>
          <w:p>
            <w:r>
              <w:rPr>
                <w:sz w:val="20"/>
              </w:rPr>
              <w:t>89%</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62% to 55%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16,524–37,179 while improving supply continuity</w:t>
      </w:r>
    </w:p>
    <w:p/>
    <w:p>
      <w:pPr>
        <w:pStyle w:val="Heading2"/>
      </w:pPr>
      <w:r>
        <w:rPr>
          <w:color w:val="003366"/>
        </w:rPr>
        <w:t>WHY THIS MATTERS</w:t>
      </w:r>
    </w:p>
    <w:p>
      <w:r>
        <w:t xml:space="preserve">This analysis reveals a high supplier concentration issue in Office Supplies. With 62%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proactive action recommended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$16,524 to $37,179 in annual cost savings, representing a 149%-374% ROI on the estimated $9,180 implementation investment.</w:t>
        <w:br/>
        <w:br/>
        <w:t>2. RISK MITIGATION: Current risk level is rated CRITICAL. Reducing concentration by 7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62% concentration, the dominant supplier has excessive market power. This limits negotiating leverage and creates dependency.</w:t>
        <w:br/>
        <w:br/>
        <w:t>• GEOGRAPHIC RISK (HIGH): 100% of spend is concentrated in USA.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Office Supplies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office supplies reveals a critical business issue: a high supplier concentration risk, with Staples accounting for 62.4% of the total annual spend of $459,000. This equates to a dominant supplier spend of $286,200, leaving the company heavily reliant on a single supplier within the Americas supply corridor. The financial magnitude of this concentration poses significant risks, as any disruption could severely impact supply continuity and cost stability.</w:t>
        <w:br/>
        <w:br/>
        <w:t>High supplier concentration, as highlighted in the knowledge base, creates substantial supply chain risks, particularly when over 50% of spend is with a single supplier [SOURCE-1]. This level of dependency limits negotiation leverage and increases vulnerability to supplier-specific disruptions. Best practices suggest maintaining a diversified supplier base of at least 3-5 qualified suppliers for critical categories to mitigate these risks [SOURCE-1]. Geographic diversification is also recommended to reduce exposure to regional disruptions, which is currently lacking in the office supplies category.</w:t>
        <w:br/>
        <w:br/>
        <w:t>To address this issue, a diversification strategy is recommended. This involves expanding the supplier base beyond Staples and Office Depot to include additional suppliers from different regions. By implementing a dual sourcing strategy, the company can balance cost efficiency with risk mitigation, ensuring a more resilient supply chain [SOURCE-1]. This approach not only reduces dependency on a single supplier but also leverages competitive pricing and enhances supply chain flexibility.</w:t>
        <w:br/>
        <w:br/>
        <w:t>The projected financial benefits of this diversification strategy are substantial. With an implementation cost of $9,180, the projected annual savings range from $16,524 to $37,179, resulting in a projected ROI of 149% to 374%. Over three years, the net benefit is expected to be between $59,326 and $121,291. These figures underscore the strategic advantage of reducing supplier concentration, enhancing procurement resilience, and achieving significant cost savings.</w:t>
        <w:br/>
        <w:br/>
        <w:t>---</w:t>
        <w:br/>
        <w:t>Sources: supplier_risk.txt, roi_calculations.txt, spend_data.csv:Packaging Materials</w:t>
      </w:r>
    </w:p>
    <w:p/>
    <w:p>
      <w:pPr>
        <w:pStyle w:val="Heading2"/>
      </w:pPr>
      <w:r>
        <w:rPr>
          <w:color w:val="003366"/>
        </w:rPr>
        <w:t>🤖 AI-POWERED RISK ANALYSIS</w:t>
      </w:r>
    </w:p>
    <w:p>
      <w:pPr>
        <w:spacing w:after="240"/>
      </w:pPr>
      <w:r>
        <w:t>## DETAILED RISK ANALYSIS</w:t>
        <w:br/>
        <w:br/>
        <w:t>### Current Risk Exposure</w:t>
        <w:br/>
        <w:br/>
        <w:t>The current risk exposure for the Office Supplies category is critically high, as indicated by the overall risk score of 3.7 out of 4.0, placing it at a CRITICAL risk level. The total spend at risk is $459,000, which is a significant portion of the procurement budget for this category. The risk matrix highlights several areas of concern: supply chain risk and geographic risk are both rated as CRITICAL, while supplier diversity risk is rated as HIGH. These ratings suggest a severe vulnerability in the supply chain that could lead to significant disruptions if not addressed promptly.</w:t>
        <w:br/>
        <w:br/>
        <w:t>### Rule Violation Analysis</w:t>
        <w:br/>
        <w:br/>
        <w:t>The data reveals multiple rule violations that exacerbate the risk exposure. The most pressing violation is the regional concentration, where 100% of the spend is concentrated in the Americas, exceeding the threshold of 40% by 60 percentage points. This violation is critical as it exposes the supply chain to regional disruptions, such as natural disasters or political instability, which could severely impact operations [SOURCE-2]. Additionally, there is a single supplier dependency violation, with Staples accounting for 62.4% of the spend, surpassing the 60% threshold by 2.4 percentage points. This dependency on a single supplier increases the risk of supply chain disruptions if the supplier faces operational challenges [SOURCE-3].</w:t>
        <w:br/>
        <w:br/>
        <w:t>### Risk Interdependencies</w:t>
        <w:br/>
        <w:br/>
        <w:t>The compounded effect of these risks is significant. The high geographic concentration and single supplier dependency create a scenario where any disruption in the Americas or with Staples could lead to a complete halt in the supply chain for office supplies. The lack of supplier diversity further amplifies this risk, as there are limited alternatives to pivot to in case of a disruption. This interconnectedness of risks means that a single event could trigger a cascade of failures, severely impacting the procurement process and operational continuity [SOURCE-1].</w:t>
        <w:br/>
        <w:br/>
        <w:t>### Mitigation Urgency</w:t>
        <w:br/>
        <w:br/>
        <w:t>Given the CRITICAL risk levels and the compounded nature of these risks, immediate action is required to mitigate potential disruptions. The urgency is underscored by the high concentration of spend in a single region and supplier, which violates established procurement rules aimed at ensuring supply chain resilience [SOURCE-3]. Diversifying the supplier base and redistributing spend across multiple regions are essential steps to reduce the current risk exposure. Implementing these measures will not only align with best practices for risk management but also enhance the overall robustness of the supply chain [SOURCE-2].</w:t>
        <w:br/>
        <w:br/>
        <w:t>---</w:t>
        <w:br/>
        <w:t>Sources: supplier_risk.txt, risk_assessment.txt, procurement_rulebook.csv</w:t>
      </w:r>
    </w:p>
    <w:p/>
    <w:p>
      <w:pPr>
        <w:pStyle w:val="Heading2"/>
      </w:pPr>
      <w:r>
        <w:rPr>
          <w:color w:val="003366"/>
        </w:rPr>
        <w:t>🤖 AI-GENERATED STRATEGIC RECOMMENDATIONS</w:t>
      </w:r>
    </w:p>
    <w:p>
      <w:pPr>
        <w:spacing w:after="240"/>
      </w:pPr>
      <w:r>
        <w:t>## STRATEGIC RECOMMENDATIONS</w:t>
        <w:br/>
        <w:br/>
        <w:t>### Immediate Actions</w:t>
        <w:br/>
        <w:br/>
        <w:t>The first step in optimizing procurement for office supplies should be to initiate a supplier qualification process. This aligns with Phase 1 of the implementation phases outlined in the data section, which spans weeks 1-4. During this phase, procurement should focus on identifying and qualifying at least 3-5 suppliers to mitigate supplier concentration risk, as recommended in [SOURCE-1]. This approach ensures a balanced supply chain, reducing dependency on any single supplier and enhancing resilience against disruptions.</w:t>
        <w:br/>
        <w:br/>
        <w:t>### Short-Term Wins</w:t>
        <w:br/>
        <w:br/>
        <w:t>To achieve quick wins, procurement should leverage the cost advantages offered by regions such as India, China, and Mexico. These regions provide significant cost savings ranging from $5,508 to $12,393 due to factors like cost-effective operations, manufacturing scale, and nearshoring benefits, respectively. By strategically sourcing from these regions, procurement can realize immediate savings, contributing to the projected savings of $16,524 to $37,179 as detailed in the data section.</w:t>
        <w:br/>
        <w:br/>
        <w:t>### Strategic Initiatives</w:t>
        <w:br/>
        <w:br/>
        <w:t>Following the initial supplier qualification, procurement should proceed with the strategic initiatives outlined in the implementation phases. Phase 2 involves executing pilot contracts over weeks 5-12, allowing for a controlled evaluation of supplier performance. This is followed by a performance review in week 13 (Phase 3), and finally, a scale-up phase from weeks 14-26 (Phase 4). These steps ensure a structured transition to new suppliers, balancing cost efficiency with risk mitigation as suggested in [SOURCE-1].</w:t>
        <w:br/>
        <w:br/>
        <w:t>### Governance &amp; Monitoring</w:t>
        <w:br/>
        <w:br/>
        <w:t>To effectively track the projected savings, procurement should establish a robust governance framework. This includes setting up key performance indicators (KPIs) aligned with the projected savings and implementation cost metrics provided in the data section. Regular performance reviews during and after the pilot phase will help ensure that the savings targets are being met and that any deviations are promptly addressed.</w:t>
        <w:br/>
        <w:br/>
        <w:t>### Success Metrics</w:t>
        <w:br/>
        <w:br/>
        <w:t>Success should be measured using the ROI and payback metrics provided in the data section. The projected 3-year net benefit ranges from $59,326 to $121,291, with a payback period of 2.5 to 4.8 months. These metrics provide a clear benchmark for evaluating the financial success of the procurement strategy. By adhering to these metrics, procurement can ensure that the initiatives not only achieve cost savings but also deliver a strong return on investment within a reasonable timeframe.</w:t>
        <w:br/>
        <w:br/>
        <w:t>By following these strategic recommendations, procurement can effectively optimize its office supplies category, leveraging regional cost advantages and implementing a structured supplier diversification strategy to achieve both immediate and long-term benefits.</w:t>
        <w:br/>
        <w:br/>
        <w:t>---</w:t>
        <w:br/>
        <w:t>Sources: supplier_risk.txt, roi_calculations.txt, spend_data.csv:Packaging Materials</w:t>
      </w:r>
    </w:p>
    <w:p/>
    <w:p>
      <w:pPr>
        <w:pStyle w:val="Heading2"/>
      </w:pPr>
      <w:r>
        <w:rPr>
          <w:color w:val="003366"/>
        </w:rPr>
        <w:t>🤖 AI MARKET INTELLIGENCE</w:t>
      </w:r>
    </w:p>
    <w:p>
      <w:pPr>
        <w:spacing w:after="240"/>
      </w:pPr>
      <w:r>
        <w:t>The Office Supplies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Office Supplies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office supplies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