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32"/>
        </w:rPr>
        <w:t>LEADERSHIP BRIEF – OFFICE SUPPLIES DIVERSIFICATION</w:t>
      </w:r>
    </w:p>
    <w:p>
      <w:pPr>
        <w:jc w:val="center"/>
      </w:pPr>
      <w:r>
        <w:rPr>
          <w:i/>
          <w:sz w:val="22"/>
        </w:rPr>
        <w:t>Supplier Concentration Analysis &amp; Diversification Strategy</w:t>
      </w:r>
    </w:p>
    <w:p>
      <w:pPr>
        <w:jc w:val="center"/>
      </w:pPr>
      <w:r>
        <w:rPr>
          <w:b/>
          <w:sz w:val="24"/>
        </w:rPr>
        <w:t>Total Category Spend 2026: USD 459,000</w:t>
      </w:r>
    </w:p>
    <w:p/>
    <w:p>
      <w:pPr>
        <w:pStyle w:val="Heading2"/>
      </w:pPr>
      <w:r>
        <w:rPr>
          <w:color w:val="003366"/>
        </w:rPr>
        <w:t>CURRENT STATE – SUPPLIER CONCENTRATION RISK</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2026 Original</w:t>
            </w:r>
          </w:p>
        </w:tc>
      </w:tr>
      <w:tr>
        <w:tc>
          <w:tcPr>
            <w:tcW w:type="dxa" w:w="5040"/>
          </w:tcPr>
          <w:p>
            <w:r>
              <w:rPr>
                <w:sz w:val="20"/>
              </w:rPr>
              <w:t>Supplier</w:t>
            </w:r>
          </w:p>
        </w:tc>
        <w:tc>
          <w:tcPr>
            <w:tcW w:type="dxa" w:w="5040"/>
          </w:tcPr>
          <w:p>
            <w:r>
              <w:rPr>
                <w:sz w:val="20"/>
              </w:rPr>
              <w:t>Staples</w:t>
            </w:r>
          </w:p>
        </w:tc>
      </w:tr>
      <w:tr>
        <w:tc>
          <w:tcPr>
            <w:tcW w:type="dxa" w:w="5040"/>
          </w:tcPr>
          <w:p>
            <w:r>
              <w:rPr>
                <w:sz w:val="20"/>
              </w:rPr>
              <w:t>Supplier Location</w:t>
            </w:r>
          </w:p>
        </w:tc>
        <w:tc>
          <w:tcPr>
            <w:tcW w:type="dxa" w:w="5040"/>
          </w:tcPr>
          <w:p>
            <w:r>
              <w:rPr>
                <w:sz w:val="20"/>
              </w:rPr>
              <w:t>USA</w:t>
            </w:r>
          </w:p>
        </w:tc>
      </w:tr>
      <w:tr>
        <w:tc>
          <w:tcPr>
            <w:tcW w:type="dxa" w:w="5040"/>
          </w:tcPr>
          <w:p>
            <w:r>
              <w:rPr>
                <w:sz w:val="20"/>
              </w:rPr>
              <w:t>Spend Share</w:t>
            </w:r>
          </w:p>
        </w:tc>
        <w:tc>
          <w:tcPr>
            <w:tcW w:type="dxa" w:w="5040"/>
          </w:tcPr>
          <w:p>
            <w:r>
              <w:rPr>
                <w:sz w:val="20"/>
              </w:rPr>
              <w:t>62% = USD 286,200</w:t>
            </w:r>
          </w:p>
        </w:tc>
      </w:tr>
      <w:tr>
        <w:tc>
          <w:tcPr>
            <w:tcW w:type="dxa" w:w="5040"/>
          </w:tcPr>
          <w:p>
            <w:r>
              <w:rPr>
                <w:sz w:val="20"/>
              </w:rPr>
              <w:t>Current Office Supplies Buying from Supplier</w:t>
            </w:r>
          </w:p>
        </w:tc>
        <w:tc>
          <w:tcPr>
            <w:tcW w:type="dxa" w:w="5040"/>
          </w:tcPr>
          <w:p>
            <w:r>
              <w:rPr>
                <w:sz w:val="20"/>
              </w:rPr>
              <w:t>Yes</w:t>
            </w:r>
          </w:p>
        </w:tc>
      </w:tr>
      <w:tr>
        <w:tc>
          <w:tcPr>
            <w:tcW w:type="dxa" w:w="5040"/>
          </w:tcPr>
          <w:p>
            <w:r>
              <w:rPr>
                <w:sz w:val="20"/>
              </w:rPr>
              <w:t>Alternate Supplier for Office Supplies</w:t>
            </w:r>
          </w:p>
        </w:tc>
        <w:tc>
          <w:tcPr>
            <w:tcW w:type="dxa" w:w="5040"/>
          </w:tcPr>
          <w:p>
            <w:r>
              <w:rPr>
                <w:sz w:val="20"/>
              </w:rPr>
              <w:t>None active today</w:t>
            </w:r>
          </w:p>
        </w:tc>
      </w:tr>
      <w:tr>
        <w:tc>
          <w:tcPr>
            <w:tcW w:type="dxa" w:w="5040"/>
          </w:tcPr>
          <w:p>
            <w:r>
              <w:rPr>
                <w:sz w:val="20"/>
              </w:rPr>
              <w:t>Key Risk</w:t>
            </w:r>
          </w:p>
        </w:tc>
        <w:tc>
          <w:tcPr>
            <w:tcW w:type="dxa" w:w="5040"/>
          </w:tcPr>
          <w:p>
            <w:r>
              <w:rPr>
                <w:sz w:val="20"/>
              </w:rPr>
              <w:t>High supplier concentration (62%) and Americas supply corridor dependency</w:t>
            </w:r>
          </w:p>
        </w:tc>
      </w:tr>
    </w:tbl>
    <w:p/>
    <w:p>
      <w:pPr>
        <w:pStyle w:val="Heading3"/>
      </w:pPr>
      <w:r>
        <w:rPr>
          <w:color w:val="003366"/>
        </w:rPr>
        <w:t>OVERALL RISK STATEMENT</w:t>
      </w:r>
    </w:p>
    <w:p>
      <w:pPr>
        <w:spacing w:after="240"/>
      </w:pPr>
      <w:r>
        <w:t xml:space="preserve">Our current office supplies procurement involves 2 suppliers, with Staples as the dominant supplier at 62% of total category spend (USD 286,200 of USD 459,000 in 2026). Other suppliers include: Office Depot (38%). All suppliers operate from USA. There are no other qualified Office Supplies suppliers in our approved supplier database. New supplier qualification will be required for diversification. </w:t>
        <w:br/>
        <w:br/>
        <w:t>This creates both a high supplier concentration risk and a correlated geographic concentration risk. It is recommended to identify and activate alternate suppliers to offset this dependency, introduce price competition, diversify geographic exposure, and enable alternate logistics routing, while continuing optimization and quarterly rebalancing.</w:t>
      </w:r>
    </w:p>
    <w:p/>
    <w:p>
      <w:pPr>
        <w:pStyle w:val="Heading2"/>
      </w:pPr>
      <w:r>
        <w:rPr>
          <w:color w:val="003366"/>
        </w:rPr>
        <w:t>SUPPLIER SHARE REDUCTION IMPACT (TARGET STATE)</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Supplier</w:t>
            </w:r>
          </w:p>
        </w:tc>
        <w:tc>
          <w:tcPr>
            <w:tcW w:type="dxa" w:w="2520"/>
          </w:tcPr>
          <w:p>
            <w:r>
              <w:rPr>
                <w:b/>
                <w:sz w:val="20"/>
              </w:rPr>
              <w:t>Original Share</w:t>
            </w:r>
          </w:p>
        </w:tc>
        <w:tc>
          <w:tcPr>
            <w:tcW w:type="dxa" w:w="2520"/>
          </w:tcPr>
          <w:p>
            <w:r>
              <w:rPr>
                <w:b/>
                <w:sz w:val="20"/>
              </w:rPr>
              <w:t>New Target Cap</w:t>
            </w:r>
          </w:p>
        </w:tc>
        <w:tc>
          <w:tcPr>
            <w:tcW w:type="dxa" w:w="2520"/>
          </w:tcPr>
          <w:p>
            <w:r>
              <w:rPr>
                <w:b/>
                <w:sz w:val="20"/>
              </w:rPr>
              <w:t>Reduction in Concentration</w:t>
            </w:r>
          </w:p>
        </w:tc>
      </w:tr>
      <w:tr>
        <w:tc>
          <w:tcPr>
            <w:tcW w:type="dxa" w:w="2520"/>
          </w:tcPr>
          <w:p>
            <w:r>
              <w:rPr>
                <w:sz w:val="20"/>
              </w:rPr>
              <w:t>Staples</w:t>
            </w:r>
          </w:p>
        </w:tc>
        <w:tc>
          <w:tcPr>
            <w:tcW w:type="dxa" w:w="2520"/>
          </w:tcPr>
          <w:p>
            <w:r>
              <w:rPr>
                <w:sz w:val="20"/>
              </w:rPr>
              <w:t>62%</w:t>
            </w:r>
          </w:p>
        </w:tc>
        <w:tc>
          <w:tcPr>
            <w:tcW w:type="dxa" w:w="2520"/>
          </w:tcPr>
          <w:p>
            <w:r>
              <w:rPr>
                <w:sz w:val="20"/>
              </w:rPr>
              <w:t>55%</w:t>
            </w:r>
          </w:p>
        </w:tc>
        <w:tc>
          <w:tcPr>
            <w:tcW w:type="dxa" w:w="2520"/>
          </w:tcPr>
          <w:p>
            <w:r>
              <w:rPr>
                <w:sz w:val="20"/>
              </w:rPr>
              <w:t>62% → 55% = 11.9% reduction</w:t>
            </w:r>
          </w:p>
        </w:tc>
      </w:tr>
      <w:tr>
        <w:tc>
          <w:tcPr>
            <w:tcW w:type="dxa" w:w="2520"/>
          </w:tcPr>
          <w:p>
            <w:r>
              <w:rPr>
                <w:sz w:val="20"/>
              </w:rPr>
              <w:t>New Alternate Supplier</w:t>
            </w:r>
          </w:p>
        </w:tc>
        <w:tc>
          <w:tcPr>
            <w:tcW w:type="dxa" w:w="2520"/>
          </w:tcPr>
          <w:p>
            <w:r>
              <w:rPr>
                <w:sz w:val="20"/>
              </w:rPr>
              <w:t>0%</w:t>
            </w:r>
          </w:p>
        </w:tc>
        <w:tc>
          <w:tcPr>
            <w:tcW w:type="dxa" w:w="2520"/>
          </w:tcPr>
          <w:p>
            <w:r>
              <w:rPr>
                <w:sz w:val="20"/>
              </w:rPr>
              <w:t>10%</w:t>
            </w:r>
          </w:p>
        </w:tc>
        <w:tc>
          <w:tcPr>
            <w:tcW w:type="dxa" w:w="2520"/>
          </w:tcPr>
          <w:p>
            <w:r>
              <w:rPr>
                <w:sz w:val="20"/>
              </w:rPr>
              <w:t>Enables supplier competition + fallback</w:t>
            </w:r>
          </w:p>
        </w:tc>
      </w:tr>
    </w:tbl>
    <w:p/>
    <w:p>
      <w:pPr>
        <w:pStyle w:val="Heading2"/>
      </w:pPr>
      <w:r>
        <w:rPr>
          <w:color w:val="003366"/>
        </w:rPr>
        <w:t>REGIONAL DEPENDENCY IMPROVEMENT</w:t>
      </w:r>
    </w:p>
    <w:tbl>
      <w:tblPr>
        <w:tblStyle w:val="TableGrid"/>
        <w:tblW w:type="auto" w:w="0"/>
        <w:tblLook w:firstColumn="1" w:firstRow="1" w:lastColumn="0" w:lastRow="0" w:noHBand="0" w:noVBand="1" w:val="04A0"/>
      </w:tblPr>
      <w:tblGrid>
        <w:gridCol w:w="2520"/>
        <w:gridCol w:w="2520"/>
        <w:gridCol w:w="2520"/>
        <w:gridCol w:w="2520"/>
      </w:tblGrid>
      <w:tr>
        <w:tc>
          <w:tcPr>
            <w:tcW w:type="dxa" w:w="2520"/>
          </w:tcPr>
          <w:p>
            <w:r>
              <w:rPr>
                <w:b/>
                <w:sz w:val="20"/>
              </w:rPr>
              <w:t>Metric</w:t>
            </w:r>
          </w:p>
        </w:tc>
        <w:tc>
          <w:tcPr>
            <w:tcW w:type="dxa" w:w="2520"/>
          </w:tcPr>
          <w:p>
            <w:r>
              <w:rPr>
                <w:b/>
                <w:sz w:val="20"/>
              </w:rPr>
              <w:t>Original 2026</w:t>
            </w:r>
          </w:p>
        </w:tc>
        <w:tc>
          <w:tcPr>
            <w:tcW w:type="dxa" w:w="2520"/>
          </w:tcPr>
          <w:p>
            <w:r>
              <w:rPr>
                <w:b/>
                <w:sz w:val="20"/>
              </w:rPr>
              <w:t>New Target</w:t>
            </w:r>
          </w:p>
        </w:tc>
        <w:tc>
          <w:tcPr>
            <w:tcW w:type="dxa" w:w="2520"/>
          </w:tcPr>
          <w:p>
            <w:r>
              <w:rPr>
                <w:b/>
                <w:sz w:val="20"/>
              </w:rPr>
              <w:t>Net Reduction</w:t>
            </w:r>
          </w:p>
        </w:tc>
      </w:tr>
      <w:tr>
        <w:tc>
          <w:tcPr>
            <w:tcW w:type="dxa" w:w="2520"/>
          </w:tcPr>
          <w:p>
            <w:r>
              <w:rPr>
                <w:sz w:val="20"/>
              </w:rPr>
              <w:t>Americas Supply Corridor</w:t>
            </w:r>
          </w:p>
        </w:tc>
        <w:tc>
          <w:tcPr>
            <w:tcW w:type="dxa" w:w="2520"/>
          </w:tcPr>
          <w:p>
            <w:r>
              <w:rPr>
                <w:sz w:val="20"/>
              </w:rPr>
              <w:t>100%</w:t>
            </w:r>
          </w:p>
        </w:tc>
        <w:tc>
          <w:tcPr>
            <w:tcW w:type="dxa" w:w="2520"/>
          </w:tcPr>
          <w:p>
            <w:r>
              <w:rPr>
                <w:sz w:val="20"/>
              </w:rPr>
              <w:t>70–75%</w:t>
            </w:r>
          </w:p>
        </w:tc>
        <w:tc>
          <w:tcPr>
            <w:tcW w:type="dxa" w:w="2520"/>
          </w:tcPr>
          <w:p>
            <w:r>
              <w:rPr>
                <w:sz w:val="20"/>
              </w:rPr>
              <w:t>25–30%</w:t>
            </w:r>
          </w:p>
        </w:tc>
      </w:tr>
    </w:tbl>
    <w:p/>
    <w:p>
      <w:pPr>
        <w:pStyle w:val="Heading2"/>
      </w:pPr>
      <w:r>
        <w:rPr>
          <w:color w:val="003366"/>
        </w:rPr>
        <w:t>COST ADVANTAGE PROJECTION FROM ADDING NEW ALTERNATE SUPPLIER INTO OFFICE SUPPLIES PROCUREMENT</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Region of New Alternate Supplier Presence</w:t>
            </w:r>
          </w:p>
        </w:tc>
        <w:tc>
          <w:tcPr>
            <w:tcW w:type="dxa" w:w="3360"/>
          </w:tcPr>
          <w:p>
            <w:r>
              <w:rPr>
                <w:b/>
                <w:sz w:val="20"/>
              </w:rPr>
              <w:t>Advantage Driver</w:t>
            </w:r>
          </w:p>
        </w:tc>
        <w:tc>
          <w:tcPr>
            <w:tcW w:type="dxa" w:w="3360"/>
          </w:tcPr>
          <w:p>
            <w:r>
              <w:rPr>
                <w:b/>
                <w:sz w:val="20"/>
              </w:rPr>
              <w:t>Estimated Annual Cost Benefit (USD)</w:t>
            </w:r>
          </w:p>
        </w:tc>
      </w:tr>
      <w:tr>
        <w:tc>
          <w:tcPr>
            <w:tcW w:type="dxa" w:w="3360"/>
          </w:tcPr>
          <w:p>
            <w:r>
              <w:rPr>
                <w:sz w:val="20"/>
              </w:rPr>
              <w:t>India</w:t>
            </w:r>
          </w:p>
        </w:tc>
        <w:tc>
          <w:tcPr>
            <w:tcW w:type="dxa" w:w="3360"/>
          </w:tcPr>
          <w:p>
            <w:r>
              <w:rPr>
                <w:sz w:val="20"/>
              </w:rPr>
              <w:t>Cost-effective operations + skilled workforce</w:t>
            </w:r>
          </w:p>
        </w:tc>
        <w:tc>
          <w:tcPr>
            <w:tcW w:type="dxa" w:w="3360"/>
          </w:tcPr>
          <w:p>
            <w:r>
              <w:rPr>
                <w:sz w:val="20"/>
              </w:rPr>
              <w:t>$5,508 – $12,393</w:t>
            </w:r>
          </w:p>
        </w:tc>
      </w:tr>
      <w:tr>
        <w:tc>
          <w:tcPr>
            <w:tcW w:type="dxa" w:w="3360"/>
          </w:tcPr>
          <w:p>
            <w:r>
              <w:rPr>
                <w:sz w:val="20"/>
              </w:rPr>
              <w:t>China</w:t>
            </w:r>
          </w:p>
        </w:tc>
        <w:tc>
          <w:tcPr>
            <w:tcW w:type="dxa" w:w="3360"/>
          </w:tcPr>
          <w:p>
            <w:r>
              <w:rPr>
                <w:sz w:val="20"/>
              </w:rPr>
              <w:t>Manufacturing scale + supply chain efficiency</w:t>
            </w:r>
          </w:p>
        </w:tc>
        <w:tc>
          <w:tcPr>
            <w:tcW w:type="dxa" w:w="3360"/>
          </w:tcPr>
          <w:p>
            <w:r>
              <w:rPr>
                <w:sz w:val="20"/>
              </w:rPr>
              <w:t>$5,508 – $12,393</w:t>
            </w:r>
          </w:p>
        </w:tc>
      </w:tr>
      <w:tr>
        <w:tc>
          <w:tcPr>
            <w:tcW w:type="dxa" w:w="3360"/>
          </w:tcPr>
          <w:p>
            <w:r>
              <w:rPr>
                <w:sz w:val="20"/>
              </w:rPr>
              <w:t>Mexico</w:t>
            </w:r>
          </w:p>
        </w:tc>
        <w:tc>
          <w:tcPr>
            <w:tcW w:type="dxa" w:w="3360"/>
          </w:tcPr>
          <w:p>
            <w:r>
              <w:rPr>
                <w:sz w:val="20"/>
              </w:rPr>
              <w:t>Nearshoring benefits + trade agreements</w:t>
            </w:r>
          </w:p>
        </w:tc>
        <w:tc>
          <w:tcPr>
            <w:tcW w:type="dxa" w:w="3360"/>
          </w:tcPr>
          <w:p>
            <w:r>
              <w:rPr>
                <w:sz w:val="20"/>
              </w:rPr>
              <w:t>$5,508 – $12,393</w:t>
            </w:r>
          </w:p>
        </w:tc>
      </w:tr>
      <w:tr>
        <w:tc>
          <w:tcPr>
            <w:tcW w:type="dxa" w:w="3360"/>
          </w:tcPr>
          <w:p>
            <w:r>
              <w:rPr>
                <w:sz w:val="20"/>
              </w:rPr>
              <w:t>Blended Annual Advantage</w:t>
            </w:r>
          </w:p>
        </w:tc>
        <w:tc>
          <w:tcPr>
            <w:tcW w:type="dxa" w:w="3360"/>
          </w:tcPr>
          <w:p>
            <w:r>
              <w:rPr>
                <w:sz w:val="20"/>
              </w:rPr>
              <w:t>Supplier competition + diversification benefits + logistics resilience</w:t>
            </w:r>
          </w:p>
        </w:tc>
        <w:tc>
          <w:tcPr>
            <w:tcW w:type="dxa" w:w="3360"/>
          </w:tcPr>
          <w:p>
            <w:r>
              <w:rPr>
                <w:sz w:val="20"/>
              </w:rPr>
              <w:t>$16,524 – $37,179</w:t>
            </w:r>
          </w:p>
        </w:tc>
      </w:tr>
    </w:tbl>
    <w:p/>
    <w:p>
      <w:pPr>
        <w:pStyle w:val="Heading2"/>
      </w:pPr>
      <w:r>
        <w:rPr>
          <w:color w:val="003366"/>
        </w:rPr>
        <w:t>RISK ASSESSMENT MATRIX</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Risk Category</w:t>
            </w:r>
          </w:p>
        </w:tc>
        <w:tc>
          <w:tcPr>
            <w:tcW w:type="dxa" w:w="3360"/>
          </w:tcPr>
          <w:p>
            <w:r>
              <w:rPr>
                <w:b/>
                <w:sz w:val="20"/>
              </w:rPr>
              <w:t>Current Level</w:t>
            </w:r>
          </w:p>
        </w:tc>
        <w:tc>
          <w:tcPr>
            <w:tcW w:type="dxa" w:w="3360"/>
          </w:tcPr>
          <w:p>
            <w:r>
              <w:rPr>
                <w:b/>
                <w:sz w:val="20"/>
              </w:rPr>
              <w:t>Description</w:t>
            </w:r>
          </w:p>
        </w:tc>
      </w:tr>
      <w:tr>
        <w:tc>
          <w:tcPr>
            <w:tcW w:type="dxa" w:w="3360"/>
          </w:tcPr>
          <w:p>
            <w:r>
              <w:rPr>
                <w:sz w:val="20"/>
              </w:rPr>
              <w:t>Supply Chain Risk</w:t>
            </w:r>
          </w:p>
        </w:tc>
        <w:tc>
          <w:tcPr>
            <w:tcW w:type="dxa" w:w="3360"/>
          </w:tcPr>
          <w:p>
            <w:r>
              <w:rPr>
                <w:sz w:val="20"/>
              </w:rPr>
              <w:t>CRITICAL</w:t>
            </w:r>
          </w:p>
        </w:tc>
        <w:tc>
          <w:tcPr>
            <w:tcW w:type="dxa" w:w="3360"/>
          </w:tcPr>
          <w:p>
            <w:r>
              <w:rPr>
                <w:sz w:val="20"/>
              </w:rPr>
              <w:t>Single supplier dependency level</w:t>
            </w:r>
          </w:p>
        </w:tc>
      </w:tr>
      <w:tr>
        <w:tc>
          <w:tcPr>
            <w:tcW w:type="dxa" w:w="3360"/>
          </w:tcPr>
          <w:p>
            <w:r>
              <w:rPr>
                <w:sz w:val="20"/>
              </w:rPr>
              <w:t>Geographic Risk</w:t>
            </w:r>
          </w:p>
        </w:tc>
        <w:tc>
          <w:tcPr>
            <w:tcW w:type="dxa" w:w="3360"/>
          </w:tcPr>
          <w:p>
            <w:r>
              <w:rPr>
                <w:sz w:val="20"/>
              </w:rPr>
              <w:t>CRITICAL</w:t>
            </w:r>
          </w:p>
        </w:tc>
        <w:tc>
          <w:tcPr>
            <w:tcW w:type="dxa" w:w="3360"/>
          </w:tcPr>
          <w:p>
            <w:r>
              <w:rPr>
                <w:sz w:val="20"/>
              </w:rPr>
              <w:t>Regional concentration level</w:t>
            </w:r>
          </w:p>
        </w:tc>
      </w:tr>
      <w:tr>
        <w:tc>
          <w:tcPr>
            <w:tcW w:type="dxa" w:w="3360"/>
          </w:tcPr>
          <w:p>
            <w:r>
              <w:rPr>
                <w:sz w:val="20"/>
              </w:rPr>
              <w:t>Supplier Diversity Risk</w:t>
            </w:r>
          </w:p>
        </w:tc>
        <w:tc>
          <w:tcPr>
            <w:tcW w:type="dxa" w:w="3360"/>
          </w:tcPr>
          <w:p>
            <w:r>
              <w:rPr>
                <w:sz w:val="20"/>
              </w:rPr>
              <w:t>HIGH</w:t>
            </w:r>
          </w:p>
        </w:tc>
        <w:tc>
          <w:tcPr>
            <w:tcW w:type="dxa" w:w="3360"/>
          </w:tcPr>
          <w:p>
            <w:r>
              <w:rPr>
                <w:sz w:val="20"/>
              </w:rPr>
              <w:t>Number of qualified suppliers</w:t>
            </w:r>
          </w:p>
        </w:tc>
      </w:tr>
      <w:tr>
        <w:tc>
          <w:tcPr>
            <w:tcW w:type="dxa" w:w="3360"/>
          </w:tcPr>
          <w:p>
            <w:r>
              <w:rPr>
                <w:sz w:val="20"/>
              </w:rPr>
              <w:t>Overall Risk Score</w:t>
            </w:r>
          </w:p>
        </w:tc>
        <w:tc>
          <w:tcPr>
            <w:tcW w:type="dxa" w:w="3360"/>
          </w:tcPr>
          <w:p>
            <w:r>
              <w:rPr>
                <w:sz w:val="20"/>
              </w:rPr>
              <w:t>3.7/4.0</w:t>
            </w:r>
          </w:p>
        </w:tc>
        <w:tc>
          <w:tcPr>
            <w:tcW w:type="dxa" w:w="3360"/>
          </w:tcPr>
          <w:p>
            <w:r>
              <w:rPr>
                <w:sz w:val="20"/>
              </w:rPr>
              <w:t>CRITICAL</w:t>
            </w:r>
          </w:p>
        </w:tc>
      </w:tr>
    </w:tbl>
    <w:p/>
    <w:p>
      <w:pPr>
        <w:pStyle w:val="Heading2"/>
      </w:pPr>
      <w:r>
        <w:rPr>
          <w:color w:val="003366"/>
        </w:rPr>
        <w:t>ROI PROJECTIONS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Financial Metric</w:t>
            </w:r>
          </w:p>
        </w:tc>
        <w:tc>
          <w:tcPr>
            <w:tcW w:type="dxa" w:w="5040"/>
          </w:tcPr>
          <w:p>
            <w:r>
              <w:rPr>
                <w:b/>
                <w:sz w:val="20"/>
              </w:rPr>
              <w:t>Projected Value</w:t>
            </w:r>
          </w:p>
        </w:tc>
      </w:tr>
      <w:tr>
        <w:tc>
          <w:tcPr>
            <w:tcW w:type="dxa" w:w="5040"/>
          </w:tcPr>
          <w:p>
            <w:r>
              <w:rPr>
                <w:sz w:val="20"/>
              </w:rPr>
              <w:t>Annual Cost Savings</w:t>
            </w:r>
          </w:p>
        </w:tc>
        <w:tc>
          <w:tcPr>
            <w:tcW w:type="dxa" w:w="5040"/>
          </w:tcPr>
          <w:p>
            <w:r>
              <w:rPr>
                <w:sz w:val="20"/>
              </w:rPr>
              <w:t>$16,524 – $37,179</w:t>
            </w:r>
          </w:p>
        </w:tc>
      </w:tr>
      <w:tr>
        <w:tc>
          <w:tcPr>
            <w:tcW w:type="dxa" w:w="5040"/>
          </w:tcPr>
          <w:p>
            <w:r>
              <w:rPr>
                <w:sz w:val="20"/>
              </w:rPr>
              <w:t>Risk Reduction Value</w:t>
            </w:r>
          </w:p>
        </w:tc>
        <w:tc>
          <w:tcPr>
            <w:tcW w:type="dxa" w:w="5040"/>
          </w:tcPr>
          <w:p>
            <w:r>
              <w:rPr>
                <w:sz w:val="20"/>
              </w:rPr>
              <w:t>$6,311</w:t>
            </w:r>
          </w:p>
        </w:tc>
      </w:tr>
      <w:tr>
        <w:tc>
          <w:tcPr>
            <w:tcW w:type="dxa" w:w="5040"/>
          </w:tcPr>
          <w:p>
            <w:r>
              <w:rPr>
                <w:sz w:val="20"/>
              </w:rPr>
              <w:t>Implementation Cost</w:t>
            </w:r>
          </w:p>
        </w:tc>
        <w:tc>
          <w:tcPr>
            <w:tcW w:type="dxa" w:w="5040"/>
          </w:tcPr>
          <w:p>
            <w:r>
              <w:rPr>
                <w:sz w:val="20"/>
              </w:rPr>
              <w:t>$9,180</w:t>
            </w:r>
          </w:p>
        </w:tc>
      </w:tr>
      <w:tr>
        <w:tc>
          <w:tcPr>
            <w:tcW w:type="dxa" w:w="5040"/>
          </w:tcPr>
          <w:p>
            <w:r>
              <w:rPr>
                <w:sz w:val="20"/>
              </w:rPr>
              <w:t>ROI (First Year)</w:t>
            </w:r>
          </w:p>
        </w:tc>
        <w:tc>
          <w:tcPr>
            <w:tcW w:type="dxa" w:w="5040"/>
          </w:tcPr>
          <w:p>
            <w:r>
              <w:rPr>
                <w:sz w:val="20"/>
              </w:rPr>
              <w:t>149% – 374%</w:t>
            </w:r>
          </w:p>
        </w:tc>
      </w:tr>
      <w:tr>
        <w:tc>
          <w:tcPr>
            <w:tcW w:type="dxa" w:w="5040"/>
          </w:tcPr>
          <w:p>
            <w:r>
              <w:rPr>
                <w:sz w:val="20"/>
              </w:rPr>
              <w:t>Payback Period</w:t>
            </w:r>
          </w:p>
        </w:tc>
        <w:tc>
          <w:tcPr>
            <w:tcW w:type="dxa" w:w="5040"/>
          </w:tcPr>
          <w:p>
            <w:r>
              <w:rPr>
                <w:sz w:val="20"/>
              </w:rPr>
              <w:t>2.5 – 4.8 months</w:t>
            </w:r>
          </w:p>
        </w:tc>
      </w:tr>
      <w:tr>
        <w:tc>
          <w:tcPr>
            <w:tcW w:type="dxa" w:w="5040"/>
          </w:tcPr>
          <w:p>
            <w:r>
              <w:rPr>
                <w:sz w:val="20"/>
              </w:rPr>
              <w:t>3-Year Net Benefit</w:t>
            </w:r>
          </w:p>
        </w:tc>
        <w:tc>
          <w:tcPr>
            <w:tcW w:type="dxa" w:w="5040"/>
          </w:tcPr>
          <w:p>
            <w:r>
              <w:rPr>
                <w:sz w:val="20"/>
              </w:rPr>
              <w:t>$59,326 – $121,291</w:t>
            </w:r>
          </w:p>
        </w:tc>
      </w:tr>
    </w:tbl>
    <w:p/>
    <w:p>
      <w:pPr>
        <w:pStyle w:val="Heading2"/>
      </w:pPr>
      <w:r>
        <w:rPr>
          <w:color w:val="003366"/>
        </w:rPr>
        <w:t>SUPPLIER PERFORMANCE METRICS</w:t>
      </w:r>
    </w:p>
    <w:tbl>
      <w:tblPr>
        <w:tblStyle w:val="TableGrid"/>
        <w:tblW w:type="auto" w:w="0"/>
        <w:tblLook w:firstColumn="1" w:firstRow="1" w:lastColumn="0" w:lastRow="0" w:noHBand="0" w:noVBand="1" w:val="04A0"/>
      </w:tblPr>
      <w:tblGrid>
        <w:gridCol w:w="2016"/>
        <w:gridCol w:w="2016"/>
        <w:gridCol w:w="2016"/>
        <w:gridCol w:w="2016"/>
        <w:gridCol w:w="2016"/>
      </w:tblGrid>
      <w:tr>
        <w:tc>
          <w:tcPr>
            <w:tcW w:type="dxa" w:w="2016"/>
          </w:tcPr>
          <w:p>
            <w:r>
              <w:rPr>
                <w:b/>
                <w:sz w:val="20"/>
              </w:rPr>
              <w:t>Supplier</w:t>
            </w:r>
          </w:p>
        </w:tc>
        <w:tc>
          <w:tcPr>
            <w:tcW w:type="dxa" w:w="2016"/>
          </w:tcPr>
          <w:p>
            <w:r>
              <w:rPr>
                <w:b/>
                <w:sz w:val="20"/>
              </w:rPr>
              <w:t>Spend (USD)</w:t>
            </w:r>
          </w:p>
        </w:tc>
        <w:tc>
          <w:tcPr>
            <w:tcW w:type="dxa" w:w="2016"/>
          </w:tcPr>
          <w:p>
            <w:r>
              <w:rPr>
                <w:b/>
                <w:sz w:val="20"/>
              </w:rPr>
              <w:t>Quality Rating</w:t>
            </w:r>
          </w:p>
        </w:tc>
        <w:tc>
          <w:tcPr>
            <w:tcW w:type="dxa" w:w="2016"/>
          </w:tcPr>
          <w:p>
            <w:r>
              <w:rPr>
                <w:b/>
                <w:sz w:val="20"/>
              </w:rPr>
              <w:t>Delivery %</w:t>
            </w:r>
          </w:p>
        </w:tc>
        <w:tc>
          <w:tcPr>
            <w:tcW w:type="dxa" w:w="2016"/>
          </w:tcPr>
          <w:p>
            <w:r>
              <w:rPr>
                <w:b/>
                <w:sz w:val="20"/>
              </w:rPr>
              <w:t>Sustainability</w:t>
            </w:r>
          </w:p>
        </w:tc>
      </w:tr>
      <w:tr>
        <w:tc>
          <w:tcPr>
            <w:tcW w:type="dxa" w:w="2016"/>
          </w:tcPr>
          <w:p>
            <w:r>
              <w:rPr>
                <w:sz w:val="20"/>
              </w:rPr>
              <w:t>Staples</w:t>
            </w:r>
          </w:p>
        </w:tc>
        <w:tc>
          <w:tcPr>
            <w:tcW w:type="dxa" w:w="2016"/>
          </w:tcPr>
          <w:p>
            <w:r>
              <w:rPr>
                <w:sz w:val="20"/>
              </w:rPr>
              <w:t>$286,200</w:t>
            </w:r>
          </w:p>
        </w:tc>
        <w:tc>
          <w:tcPr>
            <w:tcW w:type="dxa" w:w="2016"/>
          </w:tcPr>
          <w:p>
            <w:r>
              <w:rPr>
                <w:sz w:val="20"/>
              </w:rPr>
              <w:t>4.5/5.0</w:t>
            </w:r>
          </w:p>
        </w:tc>
        <w:tc>
          <w:tcPr>
            <w:tcW w:type="dxa" w:w="2016"/>
          </w:tcPr>
          <w:p>
            <w:r>
              <w:rPr>
                <w:sz w:val="20"/>
              </w:rPr>
              <w:t>91%</w:t>
            </w:r>
          </w:p>
        </w:tc>
        <w:tc>
          <w:tcPr>
            <w:tcW w:type="dxa" w:w="2016"/>
          </w:tcPr>
          <w:p>
            <w:r>
              <w:rPr>
                <w:sz w:val="20"/>
              </w:rPr>
              <w:t>8.0/10</w:t>
            </w:r>
          </w:p>
        </w:tc>
      </w:tr>
      <w:tr>
        <w:tc>
          <w:tcPr>
            <w:tcW w:type="dxa" w:w="2016"/>
          </w:tcPr>
          <w:p>
            <w:r>
              <w:rPr>
                <w:sz w:val="20"/>
              </w:rPr>
              <w:t>Office Depot</w:t>
            </w:r>
          </w:p>
        </w:tc>
        <w:tc>
          <w:tcPr>
            <w:tcW w:type="dxa" w:w="2016"/>
          </w:tcPr>
          <w:p>
            <w:r>
              <w:rPr>
                <w:sz w:val="20"/>
              </w:rPr>
              <w:t>$172,800</w:t>
            </w:r>
          </w:p>
        </w:tc>
        <w:tc>
          <w:tcPr>
            <w:tcW w:type="dxa" w:w="2016"/>
          </w:tcPr>
          <w:p>
            <w:r>
              <w:rPr>
                <w:sz w:val="20"/>
              </w:rPr>
              <w:t>4.4/5.0</w:t>
            </w:r>
          </w:p>
        </w:tc>
        <w:tc>
          <w:tcPr>
            <w:tcW w:type="dxa" w:w="2016"/>
          </w:tcPr>
          <w:p>
            <w:r>
              <w:rPr>
                <w:sz w:val="20"/>
              </w:rPr>
              <w:t>89%</w:t>
            </w:r>
          </w:p>
        </w:tc>
        <w:tc>
          <w:tcPr>
            <w:tcW w:type="dxa" w:w="2016"/>
          </w:tcPr>
          <w:p>
            <w:r>
              <w:rPr>
                <w:sz w:val="20"/>
              </w:rPr>
              <w:t>8.0/10</w:t>
            </w:r>
          </w:p>
        </w:tc>
      </w:tr>
    </w:tbl>
    <w:p/>
    <w:p>
      <w:pPr>
        <w:pStyle w:val="Heading2"/>
      </w:pPr>
      <w:r>
        <w:rPr>
          <w:color w:val="003366"/>
        </w:rPr>
        <w:t>RULE COMPLIANCE STATUS</w:t>
      </w:r>
    </w:p>
    <w:tbl>
      <w:tblPr>
        <w:tblStyle w:val="TableGrid"/>
        <w:tblW w:type="auto" w:w="0"/>
        <w:tblLook w:firstColumn="1" w:firstRow="1" w:lastColumn="0" w:lastRow="0" w:noHBand="0" w:noVBand="1" w:val="04A0"/>
      </w:tblPr>
      <w:tblGrid>
        <w:gridCol w:w="5040"/>
        <w:gridCol w:w="5040"/>
      </w:tblGrid>
      <w:tr>
        <w:tc>
          <w:tcPr>
            <w:tcW w:type="dxa" w:w="5040"/>
          </w:tcPr>
          <w:p>
            <w:r>
              <w:rPr>
                <w:b/>
                <w:sz w:val="20"/>
              </w:rPr>
              <w:t>Metric</w:t>
            </w:r>
          </w:p>
        </w:tc>
        <w:tc>
          <w:tcPr>
            <w:tcW w:type="dxa" w:w="5040"/>
          </w:tcPr>
          <w:p>
            <w:r>
              <w:rPr>
                <w:b/>
                <w:sz w:val="20"/>
              </w:rPr>
              <w:t>Value</w:t>
            </w:r>
          </w:p>
        </w:tc>
      </w:tr>
      <w:tr>
        <w:tc>
          <w:tcPr>
            <w:tcW w:type="dxa" w:w="5040"/>
          </w:tcPr>
          <w:p>
            <w:r>
              <w:rPr>
                <w:sz w:val="20"/>
              </w:rPr>
              <w:t>Overall Status</w:t>
            </w:r>
          </w:p>
        </w:tc>
        <w:tc>
          <w:tcPr>
            <w:tcW w:type="dxa" w:w="5040"/>
          </w:tcPr>
          <w:p>
            <w:r>
              <w:rPr>
                <w:sz w:val="20"/>
              </w:rPr>
              <w:t>CRITICAL</w:t>
            </w:r>
          </w:p>
        </w:tc>
      </w:tr>
      <w:tr>
        <w:tc>
          <w:tcPr>
            <w:tcW w:type="dxa" w:w="5040"/>
          </w:tcPr>
          <w:p>
            <w:r>
              <w:rPr>
                <w:sz w:val="20"/>
              </w:rPr>
              <w:t>Total Violations</w:t>
            </w:r>
          </w:p>
        </w:tc>
        <w:tc>
          <w:tcPr>
            <w:tcW w:type="dxa" w:w="5040"/>
          </w:tcPr>
          <w:p>
            <w:r>
              <w:rPr>
                <w:sz w:val="20"/>
              </w:rPr>
              <w:t>12</w:t>
            </w:r>
          </w:p>
        </w:tc>
      </w:tr>
      <w:tr>
        <w:tc>
          <w:tcPr>
            <w:tcW w:type="dxa" w:w="5040"/>
          </w:tcPr>
          <w:p>
            <w:r>
              <w:rPr>
                <w:sz w:val="20"/>
              </w:rPr>
              <w:t>Total Warnings</w:t>
            </w:r>
          </w:p>
        </w:tc>
        <w:tc>
          <w:tcPr>
            <w:tcW w:type="dxa" w:w="5040"/>
          </w:tcPr>
          <w:p>
            <w:r>
              <w:rPr>
                <w:sz w:val="20"/>
              </w:rPr>
              <w:t>0</w:t>
            </w:r>
          </w:p>
        </w:tc>
      </w:tr>
      <w:tr>
        <w:tc>
          <w:tcPr>
            <w:tcW w:type="dxa" w:w="5040"/>
          </w:tcPr>
          <w:p>
            <w:r>
              <w:rPr>
                <w:sz w:val="20"/>
              </w:rPr>
              <w:t>Compliance Rate</w:t>
            </w:r>
          </w:p>
        </w:tc>
        <w:tc>
          <w:tcPr>
            <w:tcW w:type="dxa" w:w="5040"/>
          </w:tcPr>
          <w:p>
            <w:r>
              <w:rPr>
                <w:sz w:val="20"/>
              </w:rPr>
              <w:t>66%</w:t>
            </w:r>
          </w:p>
        </w:tc>
      </w:tr>
    </w:tbl>
    <w:p/>
    <w:p>
      <w:r>
        <w:rPr>
          <w:b/>
        </w:rPr>
        <w:t>Violations Detected:</w:t>
      </w:r>
    </w:p>
    <w:p>
      <w:pPr>
        <w:pStyle w:val="ListBullet"/>
      </w:pPr>
      <w:r>
        <w:t>R001: Regional Concentration</w:t>
      </w:r>
    </w:p>
    <w:p>
      <w:pPr>
        <w:pStyle w:val="ListBullet"/>
      </w:pPr>
      <w:r>
        <w:t>R003: Single Supplier Dependency</w:t>
      </w:r>
    </w:p>
    <w:p>
      <w:pPr>
        <w:pStyle w:val="ListBullet"/>
      </w:pPr>
      <w:r>
        <w:t>R012: Minimum Order Quantity</w:t>
      </w:r>
    </w:p>
    <w:p>
      <w:pPr>
        <w:pStyle w:val="ListBullet"/>
      </w:pPr>
      <w:r>
        <w:t>R015: Diverse Supplier Spend</w:t>
      </w:r>
    </w:p>
    <w:p>
      <w:pPr>
        <w:pStyle w:val="ListBullet"/>
      </w:pPr>
      <w:r>
        <w:t>R016: Innovation Supplier Ratio</w:t>
      </w:r>
    </w:p>
    <w:p/>
    <w:p>
      <w:pPr>
        <w:pStyle w:val="Heading2"/>
      </w:pPr>
      <w:r>
        <w:rPr>
          <w:color w:val="003366"/>
        </w:rPr>
        <w:t>STRATEGIC OUTCOME</w:t>
      </w:r>
    </w:p>
    <w:p>
      <w:pPr>
        <w:pStyle w:val="ListBullet"/>
      </w:pPr>
      <w:r>
        <w:t>Reduce single-supplier concentration from 62% to 55% in Phase 1</w:t>
      </w:r>
    </w:p>
    <w:p>
      <w:pPr>
        <w:pStyle w:val="ListBullet"/>
      </w:pPr>
      <w:r>
        <w:t>Activate 10% of spend via new qualified suppliers with multi-region presence</w:t>
      </w:r>
    </w:p>
    <w:p>
      <w:pPr>
        <w:pStyle w:val="ListBullet"/>
      </w:pPr>
      <w:r>
        <w:t>Improve pricing leverage through supplier competition</w:t>
      </w:r>
    </w:p>
    <w:p>
      <w:pPr>
        <w:pStyle w:val="ListBullet"/>
      </w:pPr>
      <w:r>
        <w:t>Reduce americas supply corridor risk by ~25%</w:t>
      </w:r>
    </w:p>
    <w:p>
      <w:pPr>
        <w:pStyle w:val="ListBullet"/>
      </w:pPr>
      <w:r>
        <w:t>Achieve estimated annual cost advantage of USD 16,524–37,179 while improving supply continuity</w:t>
      </w:r>
    </w:p>
    <w:p/>
    <w:p>
      <w:pPr>
        <w:pStyle w:val="Heading2"/>
      </w:pPr>
      <w:r>
        <w:rPr>
          <w:color w:val="003366"/>
        </w:rPr>
        <w:t>WHY THIS MATTERS</w:t>
      </w:r>
    </w:p>
    <w:p>
      <w:r>
        <w:t xml:space="preserve">This analysis reveals a high supplier concentration issue in Office Supplies. With 62% of spend concentrated with one supplier, the organization faces significant vulnerability to supply disruptions, limited negotiating leverage, and reduced ability to respond to market changes. </w:t>
        <w:br/>
        <w:br/>
        <w:t>This matters because: (1) Supply chain resilience is now a board-level priority, (2) Procurement concentration directly impacts business continuity risk profiles, (3) Diversification typically yields 5-15% cost improvements through competitive pressure, and (4) proactive action recommended to maintain competitive procurement operations.</w:t>
      </w:r>
    </w:p>
    <w:p/>
    <w:p>
      <w:pPr>
        <w:pStyle w:val="Heading2"/>
      </w:pPr>
      <w:r>
        <w:rPr>
          <w:color w:val="003366"/>
        </w:rPr>
        <w:t>BUSINESS JUSTIFICATION</w:t>
      </w:r>
    </w:p>
    <w:p>
      <w:r>
        <w:t>BUSINESS CASE JUSTIFICATION:</w:t>
        <w:br/>
        <w:br/>
        <w:t>1. FINANCIAL RETURN: The proposed diversification is projected to deliver $16,524 to $37,179 in annual cost savings, representing a 149%-374% ROI on the estimated $9,180 implementation investment.</w:t>
        <w:br/>
        <w:br/>
        <w:t>2. RISK MITIGATION: Current risk level is rated CRITICAL. Reducing concentration by 7 percentage points will significantly lower supply chain vulnerability, improve business continuity, and reduce exposure to single-source disruptions.</w:t>
        <w:br/>
        <w:br/>
        <w:t>3. STRATEGIC VALUE: Beyond direct savings, diversification enables: (a) Improved negotiating leverage with existing suppliers, (b) Access to innovation from multiple sources, (c) Flexibility to respond to demand changes, and (d) Alignment with enterprise risk management policies.</w:t>
      </w:r>
    </w:p>
    <w:p/>
    <w:p>
      <w:pPr>
        <w:pStyle w:val="Heading2"/>
      </w:pPr>
      <w:r>
        <w:rPr>
          <w:color w:val="003366"/>
        </w:rPr>
        <w:t>RISK ANALYSIS</w:t>
      </w:r>
    </w:p>
    <w:p>
      <w:r>
        <w:t>RISK ANALYSIS REASONING:</w:t>
        <w:br/>
        <w:br/>
        <w:t>• SUPPLIER RISK (HIGH): At 62% concentration, the dominant supplier has excessive market power. This limits negotiating leverage and creates dependency.</w:t>
        <w:br/>
        <w:br/>
        <w:t>• GEOGRAPHIC RISK (HIGH): 100% of spend is concentrated in USA. This exposes the supply chain to regional disruptions including: natural disasters, political instability, trade policy changes, and logistics bottlenecks.</w:t>
        <w:br/>
        <w:br/>
        <w:t>• DIVERSITY RISK (CRITICAL): Only 2 supplier(s) active. Limited supplier pool means no fallback options during disruptions and insufficient competition to drive optimal pricing.</w:t>
      </w:r>
    </w:p>
    <w:p/>
    <w:p>
      <w:pPr>
        <w:pStyle w:val="Heading2"/>
      </w:pPr>
      <w:r>
        <w:rPr>
          <w:color w:val="003366"/>
        </w:rPr>
        <w:t>RECOMMENDATION RATIONALE</w:t>
      </w:r>
    </w:p>
    <w:p>
      <w:r>
        <w:t>RECOMMENDATION RATIONALE:</w:t>
        <w:br/>
        <w:br/>
        <w:t>The recommended diversification strategy is based on:</w:t>
        <w:br/>
        <w:br/>
        <w:t>1. IDENTIFY ALTERNATE SUPPLIERS: New supplier qualification should prioritize candidates with existing certifications, proven track records, and geographic diversity from current sources.</w:t>
        <w:br/>
        <w:br/>
        <w:t xml:space="preserve">2. REGIONAL DIVERSIFICATION TO INDIA, CHINA: These regions are identified as optimal for Office Supplies based on: </w:t>
        <w:br/>
        <w:t xml:space="preserve">   • India: Cost-effective operations + skilled workforce</w:t>
        <w:br/>
        <w:t xml:space="preserve">   • China: Manufacturing scale + supply chain efficiency</w:t>
        <w:br/>
        <w:br/>
        <w:t>3. PHASED IMPLEMENTATION: The 26-week timeline allows for: controlled pilot testing, performance validation before scale-up, and risk mitigation through gradual volume transitions rather than abrupt supplier changes that could disrupt operations.</w:t>
      </w:r>
    </w:p>
    <w:p/>
    <w:p>
      <w:pPr>
        <w:pStyle w:val="Heading2"/>
      </w:pPr>
      <w:r>
        <w:rPr>
          <w:color w:val="003366"/>
        </w:rPr>
        <w:t>🤖 AI-GENERATED EXECUTIVE SUMMARY</w:t>
      </w:r>
    </w:p>
    <w:p>
      <w:pPr>
        <w:spacing w:after="240"/>
      </w:pPr>
      <w:r>
        <w:t>The critical business issue facing the procurement of office supplies is the high supplier concentration, with Staples accounting for 62.4% of the total annual spend of $459,000, amounting to $286,200. This dependency on a single supplier not only elevates the risk level to critical but also exposes the supply chain to potential disruptions within the Americas supply corridor. With only two active suppliers, the current setup lacks the resilience needed to mitigate risks associated with supplier concentration, which is a significant concern given the financial stakes involved.</w:t>
        <w:br/>
        <w:br/>
        <w:t>High supplier concentration, as noted in [SOURCE-1], poses a significant risk to supply chain stability. It limits the organization's ability to negotiate favorable terms and increases vulnerability to supply disruptions. Best practices suggest maintaining a diversified supplier base of at least 3-5 qualified suppliers for critical categories to reduce such risks. Geographic diversification further mitigates exposure to regional disruptions, ensuring a more robust and flexible supply chain.</w:t>
        <w:br/>
        <w:br/>
        <w:t>To address these issues, a strategic diversification plan is recommended. This involves expanding the supplier base beyond the current two suppliers and exploring opportunities for geographic diversification. By incorporating additional suppliers, the organization can reduce its dependency on Staples, thereby enhancing supply chain resilience and negotiating power. This strategy aligns with the dual sourcing approach, balancing cost efficiency with risk mitigation as highlighted in [SOURCE-1].</w:t>
        <w:br/>
        <w:br/>
        <w:t>The projected financial benefits of this diversification strategy are substantial. With an implementation cost of $9,180, the initiative is expected to yield annual savings ranging from $16,524 to $37,179, resulting in a projected ROI of 149% to 374%. Over a three-year period, the net benefit is anticipated to be between $59,326 and $121,291. These figures underscore the strategic advantage of reducing supplier concentration and enhancing supply chain flexibility, ultimately leading to improved financial performance and reduced risk exposure.</w:t>
        <w:br/>
        <w:br/>
        <w:t>---</w:t>
        <w:br/>
        <w:t>Sources: supplier_risk.txt, roi_calculations.txt, spend_data.csv:Packaging Materials</w:t>
      </w:r>
    </w:p>
    <w:p/>
    <w:p>
      <w:pPr>
        <w:pStyle w:val="Heading2"/>
      </w:pPr>
      <w:r>
        <w:rPr>
          <w:color w:val="003366"/>
        </w:rPr>
        <w:t>🤖 AI-POWERED RISK ANALYSIS</w:t>
      </w:r>
    </w:p>
    <w:p>
      <w:pPr>
        <w:spacing w:after="240"/>
      </w:pPr>
      <w:r>
        <w:t>## DETAILED RISK ANALYSIS</w:t>
        <w:br/>
        <w:br/>
        <w:t>### Current Risk Exposure</w:t>
        <w:br/>
        <w:br/>
        <w:t>The current risk exposure for the Office Supplies category is notably high, with a total spend at risk of $459,000. The overall risk score is 3.7 out of 4.0, categorizing it as CRITICAL. This high risk level is primarily due to significant supply chain and geographic risks, both rated as CRITICAL. The Supplier Diversity Risk is also high, contributing to the overall precarious position of the supply chain. These metrics indicate a severe vulnerability to disruptions, which could have substantial financial and operational impacts if not addressed promptly.</w:t>
        <w:br/>
        <w:br/>
        <w:t>### Rule Violation Analysis</w:t>
        <w:br/>
        <w:br/>
        <w:t>Several rule violations exacerbate the risk profile. The most critical is the Regional Concentration violation, where 100.0% of the spend is concentrated in the Americas, exceeding the 40.0% threshold by 60.0%. This concentration significantly increases geographic risk, as outlined in [SOURCE-2], where a concentration above 70% is considered HIGH risk. Additionally, the Single Supplier Dependency violation is evident, with Staples accounting for 62.4% of the spend, surpassing the 60.0% limit by 2.4%. This dependency on a single supplier is identified as a CRITICAL risk in [SOURCE-3], necessitating immediate diversification to mitigate potential supply chain disruptions.</w:t>
        <w:br/>
        <w:br/>
        <w:t>### Risk Interdependencies</w:t>
        <w:br/>
        <w:br/>
        <w:t>The calculated risks are interdependent, compounding the overall risk exposure. The high geographic concentration in the Americas heightens the supply chain risk, as any regional disruption could severely impact the entire supply chain. This is further exacerbated by the Single Supplier Dependency, which limits flexibility and increases vulnerability to supplier-specific issues. The lack of supplier diversity also limits the ability to pivot to alternative sources quickly, increasing the potential impact of any disruption. These interconnected risks create a fragile supply chain that is susceptible to both regional and supplier-specific disruptions, as highlighted in [SOURCE-1].</w:t>
        <w:br/>
        <w:br/>
        <w:t>### Mitigation Urgency</w:t>
        <w:br/>
        <w:br/>
        <w:t>Given the CRITICAL risk level, immediate action is necessary to mitigate these vulnerabilities. The high geographic concentration and single supplier dependency require urgent diversification efforts to reduce exposure to regional and supplier-specific disruptions. Implementing a dual sourcing strategy, as recommended in [SOURCE-1], could balance cost efficiency with risk mitigation. Additionally, increasing supplier diversity is crucial to enhance supply chain resilience and reduce the overall risk score. The urgency is underscored by the potential financial and operational impacts of a disruption, which could be significant given the current risk exposure.</w:t>
        <w:br/>
        <w:br/>
        <w:t>---</w:t>
        <w:br/>
        <w:t>Sources: supplier_risk.txt, risk_assessment.txt, procurement_rulebook.csv</w:t>
      </w:r>
    </w:p>
    <w:p/>
    <w:p>
      <w:pPr>
        <w:pStyle w:val="Heading2"/>
      </w:pPr>
      <w:r>
        <w:rPr>
          <w:color w:val="003366"/>
        </w:rPr>
        <w:t>🤖 AI-GENERATED STRATEGIC RECOMMENDATIONS</w:t>
      </w:r>
    </w:p>
    <w:p>
      <w:pPr>
        <w:spacing w:after="240"/>
      </w:pPr>
      <w:r>
        <w:t>## STRATEGIC RECOMMENDATIONS</w:t>
        <w:br/>
        <w:br/>
        <w:t>### Immediate Actions</w:t>
        <w:br/>
        <w:br/>
        <w:t>Procurement should immediately focus on diversifying its supplier base to mitigate supplier concentration risks. As per best practices outlined in [SOURCE-1], maintaining at least 3-5 qualified suppliers for critical categories is essential to reduce supply chain risk. This approach will also help in balancing cost efficiency with risk mitigation through dual sourcing strategies. The first step in this process is to initiate the supplier qualification phase, which spans weeks 1-4, as outlined in the DATA SECTION.</w:t>
        <w:br/>
        <w:br/>
        <w:t>### Short-Term Wins</w:t>
        <w:br/>
        <w:br/>
        <w:t>To achieve quick wins, procurement can leverage the cost advantages offered by regions such as India, China, and Mexico. These regions provide significant cost savings, ranging from $5,508 to $12,393, due to their cost-effective operations, manufacturing scale, and nearshoring benefits, respectively. By strategically sourcing from these regions, procurement can realize immediate cost reductions and enhance supply chain efficiency. This aligns with the regional procurement strategy of considering total cost of ownership, including logistics and lead times, as mentioned in [SOURCE-4].</w:t>
        <w:br/>
        <w:br/>
        <w:t>### Strategic Initiatives</w:t>
        <w:br/>
        <w:br/>
        <w:t>Following the initial supplier qualification, procurement should proceed with the pilot contracts phase (weeks 5-12) and performance review (week 13) as detailed in the DATA SECTION. These phases are crucial for testing supplier capabilities and ensuring alignment with organizational goals. The final phase, scale-up (weeks 14-26), will involve expanding successful pilot contracts to full-scale operations. This strategic initiative will enable procurement to achieve the projected savings of $16,524 to $37,179, with a payback period of 2.5 to 4.8 months, as stated in the DATA SECTION.</w:t>
        <w:br/>
        <w:br/>
        <w:t>### Governance &amp; Monitoring</w:t>
        <w:br/>
        <w:br/>
        <w:t>To effectively track the projected savings, procurement should establish a robust governance framework. This includes setting up regular performance reviews and audits to ensure that the savings targets are met. The implementation of key performance indicators (KPIs) will facilitate continuous monitoring of supplier performance and cost savings. These measures will ensure that the projected 3-year net benefit of $59,326 to $121,291 is realized, as highlighted in the DATA SECTION.</w:t>
        <w:br/>
        <w:br/>
        <w:t>### Success Metrics</w:t>
        <w:br/>
        <w:br/>
        <w:t>The success of these strategic initiatives will be measured by the return on investment (ROI) and payback metrics provided in the DATA SECTION. The projected 3-year net benefit of $59,326 to $121,291, combined with a payback period of 2.5 to 4.8 months, serves as a benchmark for evaluating the effectiveness of procurement strategies. By adhering to these metrics, procurement can ensure that the initiatives deliver the expected financial benefits and contribute to the organization's overall strategic objectives.</w:t>
        <w:br/>
        <w:br/>
        <w:t>---</w:t>
        <w:br/>
        <w:t>Sources: supplier_risk.txt, roi_calculations.txt, spend_data.csv:Packaging Materials</w:t>
      </w:r>
    </w:p>
    <w:p/>
    <w:p>
      <w:pPr>
        <w:pStyle w:val="Heading2"/>
      </w:pPr>
      <w:r>
        <w:rPr>
          <w:color w:val="003366"/>
        </w:rPr>
        <w:t>🤖 AI MARKET INTELLIGENCE</w:t>
      </w:r>
    </w:p>
    <w:p>
      <w:pPr>
        <w:spacing w:after="240"/>
      </w:pPr>
      <w:r>
        <w:t>The Office Supplies market continues to evolve with shifting global supply dynamics. Current sourcing</w:t>
        <w:br/>
        <w:t>is concentrated in USA, India, China, representing the primary supply corridor for this category.</w:t>
        <w:br/>
        <w:br/>
        <w:t>Regional analysis indicates opportunities for optimization. India, China, Mexico represent emerging</w:t>
        <w:br/>
        <w:t>sourcing alternatives with competitive cost structures. These regions offer potential savings</w:t>
        <w:br/>
        <w:t>of 8%-18% compared to traditional sourcing locations, while maintaining</w:t>
        <w:br/>
        <w:t>quality standards aligned with enterprise requirements.</w:t>
        <w:br/>
        <w:br/>
        <w:t>The supplier landscape in this category ranges from large multinational providers to specialized</w:t>
        <w:br/>
        <w:t>regional players. Market consolidation trends suggest the importance of securing strategic</w:t>
        <w:br/>
        <w:t>supplier relationships while maintaining competitive tension through multi-sourcing strategies.</w:t>
        <w:br/>
        <w:br/>
        <w:t>Key considerations for Office Supplies sourcing include total cost of ownership (including logistics),</w:t>
        <w:br/>
        <w:t>supplier reliability metrics, quality certification requirements, and alignment with sustainability</w:t>
        <w:br/>
        <w:t>objectives. A balanced approach across multiple regions and suppliers optimizes both cost and</w:t>
        <w:br/>
        <w:t>risk exposure.</w:t>
      </w:r>
    </w:p>
    <w:p/>
    <w:p>
      <w:pPr>
        <w:pStyle w:val="Heading2"/>
      </w:pPr>
      <w:r>
        <w:rPr>
          <w:color w:val="003366"/>
        </w:rPr>
        <w:t>IMPLEMENTATION TIMELINE</w:t>
      </w:r>
    </w:p>
    <w:tbl>
      <w:tblPr>
        <w:tblStyle w:val="TableGrid"/>
        <w:tblW w:type="auto" w:w="0"/>
        <w:tblLook w:firstColumn="1" w:firstRow="1" w:lastColumn="0" w:lastRow="0" w:noHBand="0" w:noVBand="1" w:val="04A0"/>
      </w:tblPr>
      <w:tblGrid>
        <w:gridCol w:w="3360"/>
        <w:gridCol w:w="3360"/>
        <w:gridCol w:w="3360"/>
      </w:tblGrid>
      <w:tr>
        <w:tc>
          <w:tcPr>
            <w:tcW w:type="dxa" w:w="3360"/>
          </w:tcPr>
          <w:p>
            <w:r>
              <w:rPr>
                <w:b/>
                <w:sz w:val="20"/>
              </w:rPr>
              <w:t>Phase</w:t>
            </w:r>
          </w:p>
        </w:tc>
        <w:tc>
          <w:tcPr>
            <w:tcW w:type="dxa" w:w="3360"/>
          </w:tcPr>
          <w:p>
            <w:r>
              <w:rPr>
                <w:b/>
                <w:sz w:val="20"/>
              </w:rPr>
              <w:t>Duration</w:t>
            </w:r>
          </w:p>
        </w:tc>
        <w:tc>
          <w:tcPr>
            <w:tcW w:type="dxa" w:w="3360"/>
          </w:tcPr>
          <w:p>
            <w:r>
              <w:rPr>
                <w:b/>
                <w:sz w:val="20"/>
              </w:rPr>
              <w:t>Key Activities</w:t>
            </w:r>
          </w:p>
        </w:tc>
      </w:tr>
      <w:tr>
        <w:tc>
          <w:tcPr>
            <w:tcW w:type="dxa" w:w="3360"/>
          </w:tcPr>
          <w:p>
            <w:r>
              <w:rPr>
                <w:sz w:val="20"/>
              </w:rPr>
              <w:t>Phase 1: Supplier Qualification</w:t>
            </w:r>
          </w:p>
        </w:tc>
        <w:tc>
          <w:tcPr>
            <w:tcW w:type="dxa" w:w="3360"/>
          </w:tcPr>
          <w:p>
            <w:r>
              <w:rPr>
                <w:sz w:val="20"/>
              </w:rPr>
              <w:t>Weeks 1-4</w:t>
            </w:r>
          </w:p>
        </w:tc>
        <w:tc>
          <w:tcPr>
            <w:tcW w:type="dxa" w:w="3360"/>
          </w:tcPr>
          <w:p>
            <w:r>
              <w:rPr>
                <w:sz w:val="20"/>
              </w:rPr>
              <w:t>Identify and shortlist alternate suppliers, Request for Information (RFI) distribution</w:t>
            </w:r>
          </w:p>
        </w:tc>
      </w:tr>
      <w:tr>
        <w:tc>
          <w:tcPr>
            <w:tcW w:type="dxa" w:w="3360"/>
          </w:tcPr>
          <w:p>
            <w:r>
              <w:rPr>
                <w:sz w:val="20"/>
              </w:rPr>
              <w:t>Phase 2: Pilot Contracts</w:t>
            </w:r>
          </w:p>
        </w:tc>
        <w:tc>
          <w:tcPr>
            <w:tcW w:type="dxa" w:w="3360"/>
          </w:tcPr>
          <w:p>
            <w:r>
              <w:rPr>
                <w:sz w:val="20"/>
              </w:rPr>
              <w:t>Weeks 5-12</w:t>
            </w:r>
          </w:p>
        </w:tc>
        <w:tc>
          <w:tcPr>
            <w:tcW w:type="dxa" w:w="3360"/>
          </w:tcPr>
          <w:p>
            <w:r>
              <w:rPr>
                <w:sz w:val="20"/>
              </w:rPr>
              <w:t>Negotiate pilot contract terms, Execute 8-12 week pilot allocations</w:t>
            </w:r>
          </w:p>
        </w:tc>
      </w:tr>
      <w:tr>
        <w:tc>
          <w:tcPr>
            <w:tcW w:type="dxa" w:w="3360"/>
          </w:tcPr>
          <w:p>
            <w:r>
              <w:rPr>
                <w:sz w:val="20"/>
              </w:rPr>
              <w:t>Phase 3: Performance Review</w:t>
            </w:r>
          </w:p>
        </w:tc>
        <w:tc>
          <w:tcPr>
            <w:tcW w:type="dxa" w:w="3360"/>
          </w:tcPr>
          <w:p>
            <w:r>
              <w:rPr>
                <w:sz w:val="20"/>
              </w:rPr>
              <w:t>Week 13</w:t>
            </w:r>
          </w:p>
        </w:tc>
        <w:tc>
          <w:tcPr>
            <w:tcW w:type="dxa" w:w="3360"/>
          </w:tcPr>
          <w:p>
            <w:r>
              <w:rPr>
                <w:sz w:val="20"/>
              </w:rPr>
              <w:t>Quarterly performance review, Cost-benefit analysis</w:t>
            </w:r>
          </w:p>
        </w:tc>
      </w:tr>
      <w:tr>
        <w:tc>
          <w:tcPr>
            <w:tcW w:type="dxa" w:w="3360"/>
          </w:tcPr>
          <w:p>
            <w:r>
              <w:rPr>
                <w:sz w:val="20"/>
              </w:rPr>
              <w:t>Phase 4: Scale-Up</w:t>
            </w:r>
          </w:p>
        </w:tc>
        <w:tc>
          <w:tcPr>
            <w:tcW w:type="dxa" w:w="3360"/>
          </w:tcPr>
          <w:p>
            <w:r>
              <w:rPr>
                <w:sz w:val="20"/>
              </w:rPr>
              <w:t>Weeks 14-26</w:t>
            </w:r>
          </w:p>
        </w:tc>
        <w:tc>
          <w:tcPr>
            <w:tcW w:type="dxa" w:w="3360"/>
          </w:tcPr>
          <w:p>
            <w:r>
              <w:rPr>
                <w:sz w:val="20"/>
              </w:rPr>
              <w:t>Gradual volume transition, Long-term contract negotiation</w:t>
            </w:r>
          </w:p>
        </w:tc>
      </w:tr>
    </w:tbl>
    <w:p/>
    <w:p>
      <w:pPr>
        <w:pStyle w:val="Heading2"/>
      </w:pPr>
      <w:r>
        <w:rPr>
          <w:color w:val="003366"/>
        </w:rPr>
        <w:t>NEXT STEPS</w:t>
      </w:r>
    </w:p>
    <w:p>
      <w:r>
        <w:t>1. Activate office supplies with qualified alternate suppliers</w:t>
      </w:r>
    </w:p>
    <w:p>
      <w:r>
        <w:t>2. Initiate 8–12 week pilot allocations</w:t>
      </w:r>
    </w:p>
    <w:p>
      <w:r>
        <w:t>3. Benchmark pricing and delivery quarterly</w:t>
      </w:r>
    </w:p>
    <w:p>
      <w:r>
        <w:t>4. Continue phased reduction based on pilot performance</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