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OFFICE SUPPLIES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2026: USD 459,000</w:t>
      </w:r>
    </w:p>
    <w:p/>
    <w:p>
      <w:pPr>
        <w:pStyle w:val="Heading2"/>
      </w:pPr>
      <w:r>
        <w:rPr>
          <w:color w:val="003366"/>
        </w:rPr>
        <w:t>ORIGINAL SPEND CONCENTRATION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$459,000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$459,000</w:t>
            </w:r>
          </w:p>
        </w:tc>
      </w:tr>
    </w:tbl>
    <w:p>
      <w:pPr>
        <w:spacing w:before="120"/>
      </w:pPr>
      <w:r>
        <w:t>USA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$156,060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66%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$100,980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$100,980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$100,980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$459,000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100% → 34% = 66.0%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2026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Americas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65–75%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Cost-effective operations + skilled workforce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$5,508 – $12,393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Manufacturing scale + supply chain efficiency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$5,508 – $12,393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Nearshoring benefits + trade agreements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$5,508 – $12,393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$16,524 – $37,179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$16,524 – $37,179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$6,885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155% – 380%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$61,047 – $123,012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USA reliance by 66%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WHY THIS MATTERS</w:t>
      </w:r>
    </w:p>
    <w:p>
      <w:r>
        <w:t xml:space="preserve">This analysis reveals a critical supplier concentration issue in Office Supplies. With 100% of spend concentrated with one supplier, the organization faces significant vulnerability to supply disruptions, limited negotiating leverage, and reduced ability to respond to market changes. </w:t>
        <w:br/>
        <w:br/>
        <w:t>This matters because: (1) Supply chain resilience is now a board-level priority, (2) Procurement concentration directly impacts business continuity risk profiles, (3) Diversification typically yields 5-15% cost improvements through competitive pressure, and (4) immediate action required to maintain competitive procurement operations.</w:t>
      </w:r>
    </w:p>
    <w:p/>
    <w:p>
      <w:pPr>
        <w:pStyle w:val="Heading2"/>
      </w:pPr>
      <w:r>
        <w:rPr>
          <w:color w:val="003366"/>
        </w:rPr>
        <w:t>BUSINESS JUSTIFICATION</w:t>
      </w:r>
    </w:p>
    <w:p>
      <w:r>
        <w:t>BUSINESS CASE JUSTIFICATION:</w:t>
        <w:br/>
        <w:br/>
        <w:t>1. FINANCIAL RETURN: The proposed diversification is projected to deliver $16,524 to $37,179 in annual cost savings, representing a 155%-380% ROI on the estimated $9,180 implementation investment.</w:t>
        <w:br/>
        <w:br/>
        <w:t>2. RISK MITIGATION: Current risk level is rated CRITICAL. Reducing concentration by 25 percentage points will significantly lower supply chain vulnerability, improve business continuity, and reduce exposure to single-source disruptions.</w:t>
        <w:br/>
        <w:br/>
        <w:t>3. STRATEGIC VALUE: Beyond direct savings, diversification enables: (a) Improved negotiating leverage with existing suppliers, (b) Access to innovation from multiple sources, (c) Flexibility to respond to demand changes, and (d) Alignment with enterprise risk management policies.</w:t>
      </w:r>
    </w:p>
    <w:p/>
    <w:p>
      <w:pPr>
        <w:pStyle w:val="Heading2"/>
      </w:pPr>
      <w:r>
        <w:rPr>
          <w:color w:val="003366"/>
        </w:rPr>
        <w:t>RISK ANALYSIS</w:t>
      </w:r>
    </w:p>
    <w:p>
      <w:r>
        <w:t>RISK ANALYSIS REASONING:</w:t>
        <w:br/>
        <w:br/>
        <w:t>• SUPPLIER RISK (HIGH): At 62% concentration, the dominant supplier has excessive market power. This limits negotiating leverage and creates dependency.</w:t>
        <w:br/>
        <w:br/>
        <w:t>• GEOGRAPHIC RISK (HIGH): 100% of spend is concentrated in USA. This exposes the supply chain to regional disruptions including: natural disasters, political instability, trade policy changes, and logistics bottlenecks.</w:t>
        <w:br/>
        <w:br/>
        <w:t>• DIVERSITY RISK (CRITICAL): Only 2 supplier(s) active. Limited supplier pool means no fallback options during disruptions and insufficient competition to drive optimal pricing.</w:t>
      </w:r>
    </w:p>
    <w:p/>
    <w:p>
      <w:pPr>
        <w:pStyle w:val="Heading2"/>
      </w:pPr>
      <w:r>
        <w:rPr>
          <w:color w:val="003366"/>
        </w:rPr>
        <w:t>RECOMMENDATION RATIONALE</w:t>
      </w:r>
    </w:p>
    <w:p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 xml:space="preserve">2. REGIONAL DIVERSIFICATION TO INDIA, CHINA: These regions are identified as optimal for Office Supplies based on: </w:t>
        <w:br/>
        <w:t xml:space="preserve">   • India: Cost-effective operations + skilled workforce</w:t>
        <w:br/>
        <w:t xml:space="preserve">   • China: Manufacturing scale + supply chain efficiency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🤖 AI-GENERATED EXECUTIVE SUMMARY</w:t>
      </w:r>
    </w:p>
    <w:p>
      <w:pPr>
        <w:spacing w:after="240"/>
      </w:pPr>
      <w:r>
        <w:t>Our Office Supplies procurement demonstrates concerning geographic concentration,</w:t>
        <w:br/>
        <w:t>with 100% of the $459,000 annual spend concentrated in USA.</w:t>
        <w:br/>
        <w:t>This creates material exposure to regional disruptions, trade policy changes, and logistics bottlenecks.</w:t>
        <w:br/>
        <w:br/>
        <w:t>Geographic concentration of this magnitude exposes the organization to correlated risks—natural</w:t>
        <w:br/>
        <w:t>disasters, political instability, or infrastructure failures in one region could simultaneously</w:t>
        <w:br/>
        <w:t>impact the majority of supply. Currency fluctuations and trade policy changes further compound this exposure.</w:t>
        <w:br/>
        <w:br/>
        <w:t>The recommended regional diversification strategy introduces new supply corridors while</w:t>
        <w:br/>
        <w:t>maintaining existing supplier relationships. Target allocation reduces any single region</w:t>
        <w:br/>
        <w:t>to below 40% of category spend, aligned with enterprise risk management guidelines.</w:t>
        <w:br/>
        <w:br/>
        <w:t>Expected benefits include $16,524 to</w:t>
        <w:br/>
        <w:t>$37,179 in annual cost optimization, improved logistics</w:t>
        <w:br/>
        <w:t>resilience, and reduced exposure to regional disruption events.</w:t>
      </w:r>
    </w:p>
    <w:p/>
    <w:p>
      <w:pPr>
        <w:pStyle w:val="Heading2"/>
      </w:pPr>
      <w:r>
        <w:rPr>
          <w:color w:val="003366"/>
        </w:rPr>
        <w:t>🤖 AI-POWERED RISK ANALYSIS</w:t>
      </w:r>
    </w:p>
    <w:p>
      <w:pPr>
        <w:spacing w:after="240"/>
      </w:pPr>
      <w:r>
        <w:t>RISK ANALYSIS REASONING:</w:t>
        <w:br/>
        <w:br/>
        <w:t>• SUPPLIER RISK (CRITICAL): At 100% concentration, a single supplier controls the vast majority of supply. Industry best practice recommends no single supplier exceeds 30%. Current state exceeds this threshold by 3x.</w:t>
        <w:br/>
        <w:br/>
        <w:t>• GEOGRAPHIC RISK (HIGH): 100% of spend is concentrated in a single region. This exposes the supply chain to regional disruptions including: natural disasters, political instability, trade policy changes, and logistics bottlenecks.</w:t>
        <w:br/>
        <w:br/>
        <w:t>• DIVERSITY RISK (CRITICAL): Only 1 supplier(s) active. Limited supplier pool means no fallback options during disruptions and insufficient competition to drive optimal pricing.</w:t>
      </w:r>
    </w:p>
    <w:p/>
    <w:p>
      <w:pPr>
        <w:pStyle w:val="Heading2"/>
      </w:pPr>
      <w:r>
        <w:rPr>
          <w:color w:val="003366"/>
        </w:rPr>
        <w:t>🤖 AI-GENERATED STRATEGIC RECOMMENDATIONS</w:t>
      </w:r>
    </w:p>
    <w:p>
      <w:pPr>
        <w:spacing w:after="240"/>
      </w:pPr>
      <w:r>
        <w:t>RECOMMENDATION RATIONALE:</w:t>
        <w:br/>
        <w:br/>
        <w:t>The recommended diversification strategy is based on:</w:t>
        <w:br/>
        <w:br/>
        <w:t>1. IDENTIFY ALTERNATE SUPPLIERS: New supplier qualification should prioritize candidates with existing certifications, proven track records, and geographic diversity from current sources.</w:t>
        <w:br/>
        <w:br/>
        <w:t>3. PHASED IMPLEMENTATION: The 26-week timeline allows for: controlled pilot testing, performance validation before scale-up, and risk mitigation through gradual volume transitions rather than abrupt supplier changes that could disrupt operations.</w:t>
      </w:r>
    </w:p>
    <w:p/>
    <w:p>
      <w:pPr>
        <w:pStyle w:val="Heading2"/>
      </w:pPr>
      <w:r>
        <w:rPr>
          <w:color w:val="003366"/>
        </w:rPr>
        <w:t>🤖 AI MARKET INTELLIGENCE</w:t>
      </w:r>
    </w:p>
    <w:p>
      <w:pPr>
        <w:spacing w:after="240"/>
      </w:pPr>
      <w:r>
        <w:t>The Office Supplies market continues to evolve with shifting global supply dynamics. Current sourcing</w:t>
        <w:br/>
        <w:t>is concentrated in USA, India, China, representing the primary supply corridor for this category.</w:t>
        <w:br/>
        <w:br/>
        <w:t>Regional analysis indicates opportunities for optimization. India, China, Mexico represent emerging</w:t>
        <w:br/>
        <w:t>sourcing alternatives with competitive cost structures. These regions offer potential savings</w:t>
        <w:br/>
        <w:t>of 8%-18% compared to traditional sourcing locations, while maintaining</w:t>
        <w:br/>
        <w:t>quality standards aligned with enterprise requirements.</w:t>
        <w:br/>
        <w:br/>
        <w:t>The supplier landscape in this category ranges from large multinational providers to specialized</w:t>
        <w:br/>
        <w:t>regional players. Market consolidation trends suggest the importance of securing strategic</w:t>
        <w:br/>
        <w:t>supplier relationships while maintaining competitive tension through multi-sourcing strategies.</w:t>
        <w:br/>
        <w:br/>
        <w:t>Key considerations for Office Supplies sourcing include total cost of ownership (including logistics),</w:t>
        <w:br/>
        <w:t>supplier reliability metrics, quality certification requirements, and alignment with sustainability</w:t>
        <w:br/>
        <w:t>objectives. A balanced approach across multiple regions and suppliers optimizes both cost and</w:t>
        <w:br/>
        <w:t>risk exposure.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