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OFFICE SUPPLIES DIVERSIFICATION</w:t>
      </w:r>
    </w:p>
    <w:p>
      <w:pPr>
        <w:jc w:val="center"/>
      </w:pPr>
      <w:r>
        <w:rPr>
          <w:i/>
          <w:sz w:val="22"/>
        </w:rPr>
        <w:t>Regional Concentration Analysis &amp; Diversification Strategy</w:t>
      </w:r>
    </w:p>
    <w:p>
      <w:pPr>
        <w:jc w:val="center"/>
      </w:pPr>
      <w:r>
        <w:rPr>
          <w:b/>
          <w:sz w:val="24"/>
        </w:rPr>
        <w:t>Total Category Spend 2026: USD 459,000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USA</w:t>
            </w:r>
          </w:p>
        </w:tc>
        <w:tc>
          <w:tcPr>
            <w:tcW w:type="dxa" w:w="3360"/>
          </w:tcPr>
          <w:p>
            <w:r>
              <w:rPr>
                <w:sz w:val="20"/>
              </w:rPr>
              <w:t>100%</w:t>
            </w:r>
          </w:p>
        </w:tc>
        <w:tc>
          <w:tcPr>
            <w:tcW w:type="dxa" w:w="3360"/>
          </w:tcPr>
          <w:p>
            <w:r>
              <w:rPr>
                <w:sz w:val="20"/>
              </w:rPr>
              <w:t>$459,000</w:t>
            </w:r>
          </w:p>
        </w:tc>
      </w:tr>
      <w:tr>
        <w:tc>
          <w:tcPr>
            <w:tcW w:type="dxa" w:w="3360"/>
          </w:tcPr>
          <w:p>
            <w:r>
              <w:rPr>
                <w:sz w:val="20"/>
              </w:rPr>
              <w:t>Total High Concentration</w:t>
            </w:r>
          </w:p>
        </w:tc>
        <w:tc>
          <w:tcPr>
            <w:tcW w:type="dxa" w:w="3360"/>
          </w:tcPr>
          <w:p>
            <w:r>
              <w:rPr>
                <w:sz w:val="20"/>
              </w:rPr>
              <w:t>100%</w:t>
            </w:r>
          </w:p>
        </w:tc>
        <w:tc>
          <w:tcPr>
            <w:tcW w:type="dxa" w:w="3360"/>
          </w:tcPr>
          <w:p>
            <w:r>
              <w:rPr>
                <w:sz w:val="20"/>
              </w:rPr>
              <w:t>$459,000</w:t>
            </w:r>
          </w:p>
        </w:tc>
      </w:tr>
    </w:tbl>
    <w:p>
      <w:pPr>
        <w:spacing w:before="120"/>
      </w:pPr>
      <w:r>
        <w:t>USA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USA</w:t>
            </w:r>
          </w:p>
        </w:tc>
        <w:tc>
          <w:tcPr>
            <w:tcW w:type="dxa" w:w="2520"/>
          </w:tcPr>
          <w:p>
            <w:r>
              <w:rPr>
                <w:sz w:val="20"/>
              </w:rPr>
              <w:t>34%</w:t>
            </w:r>
          </w:p>
        </w:tc>
        <w:tc>
          <w:tcPr>
            <w:tcW w:type="dxa" w:w="2520"/>
          </w:tcPr>
          <w:p>
            <w:r>
              <w:rPr>
                <w:sz w:val="20"/>
              </w:rPr>
              <w:t>$156,060</w:t>
            </w:r>
          </w:p>
        </w:tc>
        <w:tc>
          <w:tcPr>
            <w:tcW w:type="dxa" w:w="2520"/>
          </w:tcPr>
          <w:p>
            <w:r>
              <w:rPr>
                <w:sz w:val="20"/>
              </w:rPr>
              <w:t>66% lower</w:t>
            </w:r>
          </w:p>
        </w:tc>
      </w:tr>
      <w:tr>
        <w:tc>
          <w:tcPr>
            <w:tcW w:type="dxa" w:w="2520"/>
          </w:tcPr>
          <w:p>
            <w:r>
              <w:rPr>
                <w:sz w:val="20"/>
              </w:rPr>
              <w:t>India</w:t>
            </w:r>
          </w:p>
        </w:tc>
        <w:tc>
          <w:tcPr>
            <w:tcW w:type="dxa" w:w="2520"/>
          </w:tcPr>
          <w:p>
            <w:r>
              <w:rPr>
                <w:sz w:val="20"/>
              </w:rPr>
              <w:t>22%</w:t>
            </w:r>
          </w:p>
        </w:tc>
        <w:tc>
          <w:tcPr>
            <w:tcW w:type="dxa" w:w="2520"/>
          </w:tcPr>
          <w:p>
            <w:r>
              <w:rPr>
                <w:sz w:val="20"/>
              </w:rPr>
              <w:t>$100,980</w:t>
            </w:r>
          </w:p>
        </w:tc>
        <w:tc>
          <w:tcPr>
            <w:tcW w:type="dxa" w:w="2520"/>
          </w:tcPr>
          <w:p>
            <w:r>
              <w:rPr>
                <w:sz w:val="20"/>
              </w:rPr>
              <w:t>New addition</w:t>
            </w:r>
          </w:p>
        </w:tc>
      </w:tr>
      <w:tr>
        <w:tc>
          <w:tcPr>
            <w:tcW w:type="dxa" w:w="2520"/>
          </w:tcPr>
          <w:p>
            <w:r>
              <w:rPr>
                <w:sz w:val="20"/>
              </w:rPr>
              <w:t>China</w:t>
            </w:r>
          </w:p>
        </w:tc>
        <w:tc>
          <w:tcPr>
            <w:tcW w:type="dxa" w:w="2520"/>
          </w:tcPr>
          <w:p>
            <w:r>
              <w:rPr>
                <w:sz w:val="20"/>
              </w:rPr>
              <w:t>22%</w:t>
            </w:r>
          </w:p>
        </w:tc>
        <w:tc>
          <w:tcPr>
            <w:tcW w:type="dxa" w:w="2520"/>
          </w:tcPr>
          <w:p>
            <w:r>
              <w:rPr>
                <w:sz w:val="20"/>
              </w:rPr>
              <w:t>$100,980</w:t>
            </w:r>
          </w:p>
        </w:tc>
        <w:tc>
          <w:tcPr>
            <w:tcW w:type="dxa" w:w="2520"/>
          </w:tcPr>
          <w:p>
            <w:r>
              <w:rPr>
                <w:sz w:val="20"/>
              </w:rPr>
              <w:t>New addition</w:t>
            </w:r>
          </w:p>
        </w:tc>
      </w:tr>
      <w:tr>
        <w:tc>
          <w:tcPr>
            <w:tcW w:type="dxa" w:w="2520"/>
          </w:tcPr>
          <w:p>
            <w:r>
              <w:rPr>
                <w:sz w:val="20"/>
              </w:rPr>
              <w:t>Mexico</w:t>
            </w:r>
          </w:p>
        </w:tc>
        <w:tc>
          <w:tcPr>
            <w:tcW w:type="dxa" w:w="2520"/>
          </w:tcPr>
          <w:p>
            <w:r>
              <w:rPr>
                <w:sz w:val="20"/>
              </w:rPr>
              <w:t>22%</w:t>
            </w:r>
          </w:p>
        </w:tc>
        <w:tc>
          <w:tcPr>
            <w:tcW w:type="dxa" w:w="2520"/>
          </w:tcPr>
          <w:p>
            <w:r>
              <w:rPr>
                <w:sz w:val="20"/>
              </w:rPr>
              <w:t>$100,980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$459,000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USA</w:t>
            </w:r>
          </w:p>
        </w:tc>
        <w:tc>
          <w:tcPr>
            <w:tcW w:type="dxa" w:w="5040"/>
          </w:tcPr>
          <w:p>
            <w:r>
              <w:rPr>
                <w:sz w:val="20"/>
              </w:rPr>
              <w:t>100% → 34% = 66.0%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65–75%</w:t>
            </w:r>
          </w:p>
        </w:tc>
        <w:tc>
          <w:tcPr>
            <w:tcW w:type="dxa" w:w="2520"/>
          </w:tcPr>
          <w:p>
            <w:r>
              <w:rPr>
                <w:sz w:val="20"/>
              </w:rPr>
              <w:t>25–35%</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$5,508 – $12,393</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$5,508 – $12,393</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$5,508 – $12,393</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$16,524 – $37,179</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$16,524 – $37,179</w:t>
            </w:r>
          </w:p>
        </w:tc>
      </w:tr>
      <w:tr>
        <w:tc>
          <w:tcPr>
            <w:tcW w:type="dxa" w:w="5040"/>
          </w:tcPr>
          <w:p>
            <w:r>
              <w:rPr>
                <w:sz w:val="20"/>
              </w:rPr>
              <w:t>Risk Reduction Value</w:t>
            </w:r>
          </w:p>
        </w:tc>
        <w:tc>
          <w:tcPr>
            <w:tcW w:type="dxa" w:w="5040"/>
          </w:tcPr>
          <w:p>
            <w:r>
              <w:rPr>
                <w:sz w:val="20"/>
              </w:rPr>
              <w:t>$6,885</w:t>
            </w:r>
          </w:p>
        </w:tc>
      </w:tr>
      <w:tr>
        <w:tc>
          <w:tcPr>
            <w:tcW w:type="dxa" w:w="5040"/>
          </w:tcPr>
          <w:p>
            <w:r>
              <w:rPr>
                <w:sz w:val="20"/>
              </w:rPr>
              <w:t>ROI (First Year)</w:t>
            </w:r>
          </w:p>
        </w:tc>
        <w:tc>
          <w:tcPr>
            <w:tcW w:type="dxa" w:w="5040"/>
          </w:tcPr>
          <w:p>
            <w:r>
              <w:rPr>
                <w:sz w:val="20"/>
              </w:rPr>
              <w:t>155% – 380%</w:t>
            </w:r>
          </w:p>
        </w:tc>
      </w:tr>
      <w:tr>
        <w:tc>
          <w:tcPr>
            <w:tcW w:type="dxa" w:w="5040"/>
          </w:tcPr>
          <w:p>
            <w:r>
              <w:rPr>
                <w:sz w:val="20"/>
              </w:rPr>
              <w:t>3-Year Net Benefit</w:t>
            </w:r>
          </w:p>
        </w:tc>
        <w:tc>
          <w:tcPr>
            <w:tcW w:type="dxa" w:w="5040"/>
          </w:tcPr>
          <w:p>
            <w:r>
              <w:rPr>
                <w:sz w:val="20"/>
              </w:rPr>
              <w:t>$61,047 – $123,012</w:t>
            </w:r>
          </w:p>
        </w:tc>
      </w:tr>
    </w:tbl>
    <w:p/>
    <w:p>
      <w:pPr>
        <w:pStyle w:val="Heading2"/>
      </w:pPr>
      <w:r>
        <w:rPr>
          <w:color w:val="003366"/>
        </w:rPr>
        <w:t>STRATEGIC OUTCOME</w:t>
      </w:r>
    </w:p>
    <w:p>
      <w:pPr>
        <w:pStyle w:val="ListBullet"/>
      </w:pPr>
      <w:r>
        <w:t>Reduce USA reliance by 66%</w:t>
      </w:r>
    </w:p>
    <w:p>
      <w:pPr>
        <w:pStyle w:val="ListBullet"/>
      </w:pPr>
      <w:r>
        <w:t>Add 3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~25% with blended cost advantage</w:t>
      </w:r>
    </w:p>
    <w:p/>
    <w:p>
      <w:pPr>
        <w:pStyle w:val="Heading2"/>
      </w:pPr>
      <w:r>
        <w:rPr>
          <w:color w:val="003366"/>
        </w:rPr>
        <w:t>WHY THIS MATTERS</w:t>
      </w:r>
    </w:p>
    <w:p>
      <w:r>
        <w:t xml:space="preserve">This analysis reveals a critical supplier concentration issue in Office Supplies. With 100%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$16,524 to $37,179 in annual cost savings, representing a 155%-380% ROI on the estimated $9,180 implementation investment.</w:t>
        <w:br/>
        <w:br/>
        <w:t>2. RISK MITIGATION: Current risk level is rated CRITICAL. Reducing concentration by 25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62% concentration, the dominant supplier has excessive market power. This limits negotiating leverage and creates dependency.</w:t>
        <w:br/>
        <w:br/>
        <w:t>• GEOGRAPHIC RISK (HIGH): 100% of spend is concentrated in USA.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Office Supplies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critical business issue at hand is the significant regional concentration risk in the procurement of office supplies, with 100% of the $459,000 annual spend concentrated in the USA. This singular geographic dependency not only exposes the supply chain to potential regional disruptions but also limits the company's ability to leverage competitive pricing and supplier diversity. The financial magnitude of this issue is underscored by the potential for cost savings, which are projected to range between $16,524 and $37,179 annually, representing a substantial opportunity for financial optimization.</w:t>
        <w:br/>
        <w:br/>
        <w:t>This concentration is problematic as it contravenes best practices in supplier risk management, which advocate for geographic diversification to mitigate exposure to regional disruptions [SOURCE-1]. By relying solely on suppliers from the USA, the company is vulnerable to any local economic, political, or environmental events that could impact supply continuity. Additionally, the lack of supplier diversity limits the company's negotiating power and ability to optimize costs through competitive sourcing strategies.</w:t>
        <w:br/>
        <w:br/>
        <w:t>To address this issue, a strategic diversification plan is recommended. This plan involves expanding the supplier base to include low-cost regions such as India, China, and Vietnam, which are known for their cost-effective manufacturing capabilities [SOURCE-5]. By adopting a dual sourcing strategy, the company can balance cost efficiency with risk mitigation, ensuring a more resilient supply chain [SOURCE-1]. This approach not only reduces dependency on a single region but also enhances the company's ability to respond swiftly to market changes and supply chain disruptions.</w:t>
        <w:br/>
        <w:br/>
        <w:t>The expected return on investment from this diversification strategy is significant, with a projected ROI ranging from 155% to 380%. This high ROI is indicative of the strategic benefits, including reduced supply chain risk, improved cost efficiency, and enhanced supplier negotiation leverage. Furthermore, the payback period for these diversification initiatives is typically between 6 to 18 months, making it a financially viable and strategically sound decision [SOURCE-2]. By implementing this strategy, the company can achieve a more balanced and resilient procurement portfolio, ultimately driving long-term value and stability.</w:t>
        <w:br/>
        <w:br/>
        <w:t>---</w:t>
        <w:br/>
        <w:t>Sources: supplier_risk.txt, roi_calculations.txt, spend_data.csv:Packaging Materials</w:t>
      </w:r>
    </w:p>
    <w:p/>
    <w:p>
      <w:pPr>
        <w:pStyle w:val="Heading2"/>
      </w:pPr>
      <w:r>
        <w:rPr>
          <w:color w:val="003366"/>
        </w:rPr>
        <w:t>🤖 AI-POWERED RISK ANALYSIS</w:t>
      </w:r>
    </w:p>
    <w:p>
      <w:pPr>
        <w:spacing w:after="240"/>
      </w:pPr>
      <w:r>
        <w:t>## DETAILED RISK ANALYSIS</w:t>
        <w:br/>
        <w:br/>
        <w:t>### Current Risk Exposure</w:t>
        <w:br/>
        <w:br/>
        <w:t>The current risk exposure for the Office Supplies category is critically high, with a total spend at risk of $459,000. The risk matrix indicates a Supply Chain Risk and Geographic Risk both rated as CRITICAL, with an Overall Risk Score of 3.7 out of 4.0, categorizing the overall risk level as CRITICAL. This high risk score suggests that the current procurement strategy is significantly vulnerable to disruptions, which could severely impact the supply chain's stability and efficiency. The concentration of spend in a single region (Americas) and reliance on a single supplier (Staples) are key factors contributing to this heightened risk level.</w:t>
        <w:br/>
        <w:br/>
        <w:t>### Rule Violation Analysis</w:t>
        <w:br/>
        <w:br/>
        <w:t>Several rule violations exacerbate the risk exposure. Notably, the Regional Concentration rule is violated, with 100.0% of the spend concentrated in the Americas, exceeding the threshold of 40.0% by 60.0%. This geographic concentration is a critical risk factor, as highlighted in [SOURCE-2], which indicates that such concentration increases vulnerability to regional disruptions. Additionally, the Single Supplier Dependency rule is violated, with Staples accounting for 62.4% of the spend, surpassing the 60.0% limit by 2.4%. This dependency on a single supplier is identified as a CRITICAL risk in [SOURCE-2], necessitating immediate diversification to mitigate potential supply chain disruptions.</w:t>
        <w:br/>
        <w:br/>
        <w:t>### Risk Interdependencies</w:t>
        <w:br/>
        <w:br/>
        <w:t>The interdependencies between these risks compound the overall vulnerability of the supply chain. The high geographic concentration and single supplier dependency create a scenario where any disruption in the Americas or issues with Staples could lead to significant supply chain disruptions. The lack of supplier diversity further exacerbates this risk, as there are limited alternative sources to mitigate potential disruptions. The compounded effect of these risks highlights the fragility of the current procurement strategy and underscores the need for a more diversified and resilient supply chain approach.</w:t>
        <w:br/>
        <w:br/>
        <w:t>### Mitigation Urgency</w:t>
        <w:br/>
        <w:br/>
        <w:t>Given the CRITICAL risk levels and multiple rule violations, immediate action is required to mitigate these risks. The urgency is underscored by the potential for significant operational disruptions if these risks are not addressed. As per [SOURCE-1], maintaining a diverse supplier base and geographic diversification are best practices to reduce exposure to such risks. Implementing a dual sourcing strategy and expanding the supplier base to include additional qualified suppliers from different regions can help balance cost efficiency with risk mitigation. The current risk profile demands swift action to ensure supply chain resilience and continuity, aligning with the recommendations from [SOURCE-3] to diversify suppliers and reduce dependency on single sources.</w:t>
        <w:br/>
        <w:br/>
        <w:t>---</w:t>
        <w:br/>
        <w:t>Sources: supplier_risk.txt, risk_assessment.txt, procurement_rulebook.csv</w:t>
      </w:r>
    </w:p>
    <w:p/>
    <w:p>
      <w:pPr>
        <w:pStyle w:val="Heading2"/>
      </w:pPr>
      <w:r>
        <w:rPr>
          <w:color w:val="003366"/>
        </w:rPr>
        <w:t>🤖 AI-GENERATED STRATEGIC RECOMMENDATIONS</w:t>
      </w:r>
    </w:p>
    <w:p>
      <w:pPr>
        <w:spacing w:after="240"/>
      </w:pPr>
      <w:r>
        <w:t>## STRATEGIC RECOMMENDATIONS</w:t>
        <w:br/>
        <w:br/>
        <w:t>### Immediate Actions</w:t>
        <w:br/>
        <w:br/>
        <w:t>The first step in managing procurement effectively is to address supplier concentration risks, as highlighted in [SOURCE-1]. Given the high supplier concentration risk, it is crucial to diversify the supplier base for critical categories. Immediate actions should include identifying and qualifying at least 3-5 additional suppliers for office supplies to mitigate the risk of dependency on a single supplier. This aligns with best practices for risk management and ensures a more resilient supply chain.</w:t>
        <w:br/>
        <w:br/>
        <w:t>### Short-Term Wins</w:t>
        <w:br/>
        <w:br/>
        <w:t>To achieve quick wins, procurement should leverage the cost advantages identified in the DATA SECTION. By sourcing office supplies from cost-effective regions such as India, China, and Mexico, procurement can achieve projected savings of $5,508 to $12,393 per region. These regions offer benefits such as skilled workforce, manufacturing scale, and nearshoring advantages, which can be capitalized on to reduce costs and enhance supply chain efficiency.</w:t>
        <w:br/>
        <w:br/>
        <w:t>### Strategic Initiatives</w:t>
        <w:br/>
        <w:br/>
        <w:t>Following the immediate actions, procurement should embark on strategic initiatives aligned with the implementation phases outlined in the DATA SECTION. The process begins with supplier qualification in weeks 1-4, followed by pilot contracts in weeks 5-12. A performance review in week 13 will ensure that suppliers meet the required standards before scaling up operations in weeks 14-26. This phased approach allows for careful evaluation and adjustment, minimizing risks and ensuring successful integration of new suppliers.</w:t>
        <w:br/>
        <w:br/>
        <w:t>### Governance &amp; Monitoring</w:t>
        <w:br/>
        <w:br/>
        <w:t>To track the projected savings and ensure the success of these initiatives, a robust governance and monitoring framework should be established. This includes setting up key performance indicators (KPIs) to monitor supplier performance, cost savings, and adherence to timelines. Regular reviews and adjustments based on performance data will help maintain alignment with strategic goals and ensure that projected savings of $16,524 to $37,179 are realized.</w:t>
        <w:br/>
        <w:br/>
        <w:t>### Success Metrics</w:t>
        <w:br/>
        <w:br/>
        <w:t>Success should be measured using the ROI and payback metrics provided in the DATA SECTION. The projected 3-year net benefit ranges from $61,047 to $123,012, with a payback period of 2.5 to 4.7 months. These metrics will serve as benchmarks for evaluating the financial impact of the procurement strategies. By achieving these targets, procurement can demonstrate the value of strategic sourcing and justify further investments in supplier diversification and cost optimization initiatives.</w:t>
        <w:br/>
        <w:br/>
        <w:t>---</w:t>
        <w:br/>
        <w:t>Sources: supplier_risk.txt, roi_calculations.txt, spend_data.csv:Packaging Materials</w:t>
      </w:r>
    </w:p>
    <w:p/>
    <w:p>
      <w:pPr>
        <w:pStyle w:val="Heading2"/>
      </w:pPr>
      <w:r>
        <w:rPr>
          <w:color w:val="003366"/>
        </w:rPr>
        <w:t>🤖 AI MARKET INTELLIGENCE</w:t>
      </w:r>
    </w:p>
    <w:p>
      <w:pPr>
        <w:spacing w:after="240"/>
      </w:pPr>
      <w:r>
        <w:t>The Office Supplies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Office Supplies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India, China, Mexico</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