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OFFICE SUPPLIES DIVERSIFICATION</w:t>
      </w:r>
    </w:p>
    <w:p>
      <w:pPr>
        <w:jc w:val="center"/>
      </w:pPr>
      <w:r>
        <w:rPr>
          <w:i/>
          <w:sz w:val="22"/>
        </w:rPr>
        <w:t>Regional Concentration Analysis &amp; Diversification Strategy</w:t>
      </w:r>
    </w:p>
    <w:p>
      <w:pPr>
        <w:jc w:val="center"/>
      </w:pPr>
      <w:r>
        <w:rPr>
          <w:b/>
          <w:sz w:val="24"/>
        </w:rPr>
        <w:t>Total Category Spend 2026: USD 459,000</w:t>
      </w:r>
    </w:p>
    <w:p/>
    <w:p>
      <w:pPr>
        <w:pStyle w:val="Heading2"/>
      </w:pPr>
      <w:r>
        <w:rPr>
          <w:color w:val="003366"/>
        </w:rPr>
        <w:t>ORIGINAL SPEND CONCENTRATION (2026)</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Country</w:t>
            </w:r>
          </w:p>
        </w:tc>
        <w:tc>
          <w:tcPr>
            <w:tcW w:type="dxa" w:w="3360"/>
          </w:tcPr>
          <w:p>
            <w:r>
              <w:rPr>
                <w:b/>
                <w:sz w:val="20"/>
              </w:rPr>
              <w:t>% of Total Spend</w:t>
            </w:r>
          </w:p>
        </w:tc>
        <w:tc>
          <w:tcPr>
            <w:tcW w:type="dxa" w:w="3360"/>
          </w:tcPr>
          <w:p>
            <w:r>
              <w:rPr>
                <w:b/>
                <w:sz w:val="20"/>
              </w:rPr>
              <w:t>Cost (USD)</w:t>
            </w:r>
          </w:p>
        </w:tc>
      </w:tr>
      <w:tr>
        <w:tc>
          <w:tcPr>
            <w:tcW w:type="dxa" w:w="3360"/>
          </w:tcPr>
          <w:p>
            <w:r>
              <w:rPr>
                <w:sz w:val="20"/>
              </w:rPr>
              <w:t>USA</w:t>
            </w:r>
          </w:p>
        </w:tc>
        <w:tc>
          <w:tcPr>
            <w:tcW w:type="dxa" w:w="3360"/>
          </w:tcPr>
          <w:p>
            <w:r>
              <w:rPr>
                <w:sz w:val="20"/>
              </w:rPr>
              <w:t>100%</w:t>
            </w:r>
          </w:p>
        </w:tc>
        <w:tc>
          <w:tcPr>
            <w:tcW w:type="dxa" w:w="3360"/>
          </w:tcPr>
          <w:p>
            <w:r>
              <w:rPr>
                <w:sz w:val="20"/>
              </w:rPr>
              <w:t>$459,000</w:t>
            </w:r>
          </w:p>
        </w:tc>
      </w:tr>
      <w:tr>
        <w:tc>
          <w:tcPr>
            <w:tcW w:type="dxa" w:w="3360"/>
          </w:tcPr>
          <w:p>
            <w:r>
              <w:rPr>
                <w:sz w:val="20"/>
              </w:rPr>
              <w:t>Total High Concentration</w:t>
            </w:r>
          </w:p>
        </w:tc>
        <w:tc>
          <w:tcPr>
            <w:tcW w:type="dxa" w:w="3360"/>
          </w:tcPr>
          <w:p>
            <w:r>
              <w:rPr>
                <w:sz w:val="20"/>
              </w:rPr>
              <w:t>100%</w:t>
            </w:r>
          </w:p>
        </w:tc>
        <w:tc>
          <w:tcPr>
            <w:tcW w:type="dxa" w:w="3360"/>
          </w:tcPr>
          <w:p>
            <w:r>
              <w:rPr>
                <w:sz w:val="20"/>
              </w:rPr>
              <w:t>$459,000</w:t>
            </w:r>
          </w:p>
        </w:tc>
      </w:tr>
    </w:tbl>
    <w:p>
      <w:pPr>
        <w:spacing w:before="120"/>
      </w:pPr>
      <w:r>
        <w:t>USA exceeds 40% of spend, creating regional concentration risk.</w:t>
      </w:r>
    </w:p>
    <w:p/>
    <w:p>
      <w:pPr>
        <w:pStyle w:val="Heading2"/>
      </w:pPr>
      <w:r>
        <w:rPr>
          <w:color w:val="003366"/>
        </w:rPr>
        <w:t>DIVERSIFIED TARGET STATE (NEW SPLIT)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Country / Region</w:t>
            </w:r>
          </w:p>
        </w:tc>
        <w:tc>
          <w:tcPr>
            <w:tcW w:type="dxa" w:w="2520"/>
          </w:tcPr>
          <w:p>
            <w:r>
              <w:rPr>
                <w:b/>
                <w:sz w:val="20"/>
              </w:rPr>
              <w:t>New % Allocation</w:t>
            </w:r>
          </w:p>
        </w:tc>
        <w:tc>
          <w:tcPr>
            <w:tcW w:type="dxa" w:w="2520"/>
          </w:tcPr>
          <w:p>
            <w:r>
              <w:rPr>
                <w:b/>
                <w:sz w:val="20"/>
              </w:rPr>
              <w:t>New Cost (USD)</w:t>
            </w:r>
          </w:p>
        </w:tc>
        <w:tc>
          <w:tcPr>
            <w:tcW w:type="dxa" w:w="2520"/>
          </w:tcPr>
          <w:p>
            <w:r>
              <w:rPr>
                <w:b/>
                <w:sz w:val="20"/>
              </w:rPr>
              <w:t>Change vs Original</w:t>
            </w:r>
          </w:p>
        </w:tc>
      </w:tr>
      <w:tr>
        <w:tc>
          <w:tcPr>
            <w:tcW w:type="dxa" w:w="2520"/>
          </w:tcPr>
          <w:p>
            <w:r>
              <w:rPr>
                <w:sz w:val="20"/>
              </w:rPr>
              <w:t>USA</w:t>
            </w:r>
          </w:p>
        </w:tc>
        <w:tc>
          <w:tcPr>
            <w:tcW w:type="dxa" w:w="2520"/>
          </w:tcPr>
          <w:p>
            <w:r>
              <w:rPr>
                <w:sz w:val="20"/>
              </w:rPr>
              <w:t>34%</w:t>
            </w:r>
          </w:p>
        </w:tc>
        <w:tc>
          <w:tcPr>
            <w:tcW w:type="dxa" w:w="2520"/>
          </w:tcPr>
          <w:p>
            <w:r>
              <w:rPr>
                <w:sz w:val="20"/>
              </w:rPr>
              <w:t>$156,060</w:t>
            </w:r>
          </w:p>
        </w:tc>
        <w:tc>
          <w:tcPr>
            <w:tcW w:type="dxa" w:w="2520"/>
          </w:tcPr>
          <w:p>
            <w:r>
              <w:rPr>
                <w:sz w:val="20"/>
              </w:rPr>
              <w:t>66% lower</w:t>
            </w:r>
          </w:p>
        </w:tc>
      </w:tr>
      <w:tr>
        <w:tc>
          <w:tcPr>
            <w:tcW w:type="dxa" w:w="2520"/>
          </w:tcPr>
          <w:p>
            <w:r>
              <w:rPr>
                <w:sz w:val="20"/>
              </w:rPr>
              <w:t>India</w:t>
            </w:r>
          </w:p>
        </w:tc>
        <w:tc>
          <w:tcPr>
            <w:tcW w:type="dxa" w:w="2520"/>
          </w:tcPr>
          <w:p>
            <w:r>
              <w:rPr>
                <w:sz w:val="20"/>
              </w:rPr>
              <w:t>22%</w:t>
            </w:r>
          </w:p>
        </w:tc>
        <w:tc>
          <w:tcPr>
            <w:tcW w:type="dxa" w:w="2520"/>
          </w:tcPr>
          <w:p>
            <w:r>
              <w:rPr>
                <w:sz w:val="20"/>
              </w:rPr>
              <w:t>$100,980</w:t>
            </w:r>
          </w:p>
        </w:tc>
        <w:tc>
          <w:tcPr>
            <w:tcW w:type="dxa" w:w="2520"/>
          </w:tcPr>
          <w:p>
            <w:r>
              <w:rPr>
                <w:sz w:val="20"/>
              </w:rPr>
              <w:t>New addition</w:t>
            </w:r>
          </w:p>
        </w:tc>
      </w:tr>
      <w:tr>
        <w:tc>
          <w:tcPr>
            <w:tcW w:type="dxa" w:w="2520"/>
          </w:tcPr>
          <w:p>
            <w:r>
              <w:rPr>
                <w:sz w:val="20"/>
              </w:rPr>
              <w:t>China</w:t>
            </w:r>
          </w:p>
        </w:tc>
        <w:tc>
          <w:tcPr>
            <w:tcW w:type="dxa" w:w="2520"/>
          </w:tcPr>
          <w:p>
            <w:r>
              <w:rPr>
                <w:sz w:val="20"/>
              </w:rPr>
              <w:t>22%</w:t>
            </w:r>
          </w:p>
        </w:tc>
        <w:tc>
          <w:tcPr>
            <w:tcW w:type="dxa" w:w="2520"/>
          </w:tcPr>
          <w:p>
            <w:r>
              <w:rPr>
                <w:sz w:val="20"/>
              </w:rPr>
              <w:t>$100,980</w:t>
            </w:r>
          </w:p>
        </w:tc>
        <w:tc>
          <w:tcPr>
            <w:tcW w:type="dxa" w:w="2520"/>
          </w:tcPr>
          <w:p>
            <w:r>
              <w:rPr>
                <w:sz w:val="20"/>
              </w:rPr>
              <w:t>New addition</w:t>
            </w:r>
          </w:p>
        </w:tc>
      </w:tr>
      <w:tr>
        <w:tc>
          <w:tcPr>
            <w:tcW w:type="dxa" w:w="2520"/>
          </w:tcPr>
          <w:p>
            <w:r>
              <w:rPr>
                <w:sz w:val="20"/>
              </w:rPr>
              <w:t>Mexico</w:t>
            </w:r>
          </w:p>
        </w:tc>
        <w:tc>
          <w:tcPr>
            <w:tcW w:type="dxa" w:w="2520"/>
          </w:tcPr>
          <w:p>
            <w:r>
              <w:rPr>
                <w:sz w:val="20"/>
              </w:rPr>
              <w:t>22%</w:t>
            </w:r>
          </w:p>
        </w:tc>
        <w:tc>
          <w:tcPr>
            <w:tcW w:type="dxa" w:w="2520"/>
          </w:tcPr>
          <w:p>
            <w:r>
              <w:rPr>
                <w:sz w:val="20"/>
              </w:rPr>
              <w:t>$100,980</w:t>
            </w:r>
          </w:p>
        </w:tc>
        <w:tc>
          <w:tcPr>
            <w:tcW w:type="dxa" w:w="2520"/>
          </w:tcPr>
          <w:p>
            <w:r>
              <w:rPr>
                <w:sz w:val="20"/>
              </w:rPr>
              <w:t>New addition</w:t>
            </w:r>
          </w:p>
        </w:tc>
      </w:tr>
      <w:tr>
        <w:tc>
          <w:tcPr>
            <w:tcW w:type="dxa" w:w="2520"/>
          </w:tcPr>
          <w:p>
            <w:r>
              <w:rPr>
                <w:sz w:val="20"/>
              </w:rPr>
              <w:t>Total</w:t>
            </w:r>
          </w:p>
        </w:tc>
        <w:tc>
          <w:tcPr>
            <w:tcW w:type="dxa" w:w="2520"/>
          </w:tcPr>
          <w:p>
            <w:r>
              <w:rPr>
                <w:sz w:val="20"/>
              </w:rPr>
              <w:t>100%</w:t>
            </w:r>
          </w:p>
        </w:tc>
        <w:tc>
          <w:tcPr>
            <w:tcW w:type="dxa" w:w="2520"/>
          </w:tcPr>
          <w:p>
            <w:r>
              <w:rPr>
                <w:sz w:val="20"/>
              </w:rPr>
              <w:t>$459,000</w:t>
            </w:r>
          </w:p>
        </w:tc>
        <w:tc>
          <w:tcPr>
            <w:tcW w:type="dxa" w:w="2520"/>
          </w:tcPr>
          <w:p>
            <w:r>
              <w:rPr>
                <w:sz w:val="20"/>
              </w:rPr>
              <w:t>Balanced cost + risk mix</w:t>
            </w:r>
          </w:p>
        </w:tc>
      </w:tr>
    </w:tbl>
    <w:p/>
    <w:p>
      <w:pPr>
        <w:pStyle w:val="Heading2"/>
      </w:pPr>
      <w:r>
        <w:rPr>
          <w:color w:val="003366"/>
        </w:rPr>
        <w:t>REDUCTION IN SPEND SHARE</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Country</w:t>
            </w:r>
          </w:p>
        </w:tc>
        <w:tc>
          <w:tcPr>
            <w:tcW w:type="dxa" w:w="5040"/>
          </w:tcPr>
          <w:p>
            <w:r>
              <w:rPr>
                <w:b/>
                <w:sz w:val="20"/>
              </w:rPr>
              <w:t>Reduction in Spend Share</w:t>
            </w:r>
          </w:p>
        </w:tc>
      </w:tr>
      <w:tr>
        <w:tc>
          <w:tcPr>
            <w:tcW w:type="dxa" w:w="5040"/>
          </w:tcPr>
          <w:p>
            <w:r>
              <w:rPr>
                <w:sz w:val="20"/>
              </w:rPr>
              <w:t>USA</w:t>
            </w:r>
          </w:p>
        </w:tc>
        <w:tc>
          <w:tcPr>
            <w:tcW w:type="dxa" w:w="5040"/>
          </w:tcPr>
          <w:p>
            <w:r>
              <w:rPr>
                <w:sz w:val="20"/>
              </w:rPr>
              <w:t>100% → 34% = 66.0% reduction in share</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Reduction</w:t>
            </w:r>
          </w:p>
        </w:tc>
      </w:tr>
      <w:tr>
        <w:tc>
          <w:tcPr>
            <w:tcW w:type="dxa" w:w="2520"/>
          </w:tcPr>
          <w:p>
            <w:r>
              <w:rPr>
                <w:sz w:val="20"/>
              </w:rPr>
              <w:t>Americas Supply Corridor</w:t>
            </w:r>
          </w:p>
        </w:tc>
        <w:tc>
          <w:tcPr>
            <w:tcW w:type="dxa" w:w="2520"/>
          </w:tcPr>
          <w:p>
            <w:r>
              <w:rPr>
                <w:sz w:val="20"/>
              </w:rPr>
              <w:t>100%</w:t>
            </w:r>
          </w:p>
        </w:tc>
        <w:tc>
          <w:tcPr>
            <w:tcW w:type="dxa" w:w="2520"/>
          </w:tcPr>
          <w:p>
            <w:r>
              <w:rPr>
                <w:sz w:val="20"/>
              </w:rPr>
              <w:t>65–75%</w:t>
            </w:r>
          </w:p>
        </w:tc>
        <w:tc>
          <w:tcPr>
            <w:tcW w:type="dxa" w:w="2520"/>
          </w:tcPr>
          <w:p>
            <w:r>
              <w:rPr>
                <w:sz w:val="20"/>
              </w:rPr>
              <w:t>25–35%</w:t>
            </w:r>
          </w:p>
        </w:tc>
      </w:tr>
    </w:tbl>
    <w:p/>
    <w:p>
      <w:pPr>
        <w:pStyle w:val="Heading2"/>
      </w:pPr>
      <w:r>
        <w:rPr>
          <w:color w:val="003366"/>
        </w:rPr>
        <w:t>COST ADVANTAGE DRIVERS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w:t>
            </w:r>
          </w:p>
        </w:tc>
        <w:tc>
          <w:tcPr>
            <w:tcW w:type="dxa" w:w="3360"/>
          </w:tcPr>
          <w:p>
            <w:r>
              <w:rPr>
                <w:b/>
                <w:sz w:val="20"/>
              </w:rPr>
              <w:t>Cost Benefit Driver</w:t>
            </w:r>
          </w:p>
        </w:tc>
        <w:tc>
          <w:tcPr>
            <w:tcW w:type="dxa" w:w="3360"/>
          </w:tcPr>
          <w:p>
            <w:r>
              <w:rPr>
                <w:b/>
                <w:sz w:val="20"/>
              </w:rPr>
              <w:t>Estimated Annual Advantage (USD)</w:t>
            </w:r>
          </w:p>
        </w:tc>
      </w:tr>
      <w:tr>
        <w:tc>
          <w:tcPr>
            <w:tcW w:type="dxa" w:w="3360"/>
          </w:tcPr>
          <w:p>
            <w:r>
              <w:rPr>
                <w:sz w:val="20"/>
              </w:rPr>
              <w:t>India</w:t>
            </w:r>
          </w:p>
        </w:tc>
        <w:tc>
          <w:tcPr>
            <w:tcW w:type="dxa" w:w="3360"/>
          </w:tcPr>
          <w:p>
            <w:r>
              <w:rPr>
                <w:sz w:val="20"/>
              </w:rPr>
              <w:t>Cost-effective operations + skilled workforce</w:t>
            </w:r>
          </w:p>
        </w:tc>
        <w:tc>
          <w:tcPr>
            <w:tcW w:type="dxa" w:w="3360"/>
          </w:tcPr>
          <w:p>
            <w:r>
              <w:rPr>
                <w:sz w:val="20"/>
              </w:rPr>
              <w:t>$5,508 – $12,393</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$5,508 – $12,393</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$5,508 – $12,393</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$16,524 – $37,179</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Supplier concentration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w:t>
            </w:r>
          </w:p>
        </w:tc>
        <w:tc>
          <w:tcPr>
            <w:tcW w:type="dxa" w:w="3360"/>
          </w:tcPr>
          <w:p>
            <w:r>
              <w:rPr>
                <w:sz w:val="20"/>
              </w:rPr>
              <w:t>HIGH</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3.7/4.0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$16,524 – $37,179</w:t>
            </w:r>
          </w:p>
        </w:tc>
      </w:tr>
      <w:tr>
        <w:tc>
          <w:tcPr>
            <w:tcW w:type="dxa" w:w="5040"/>
          </w:tcPr>
          <w:p>
            <w:r>
              <w:rPr>
                <w:sz w:val="20"/>
              </w:rPr>
              <w:t>Risk Reduction Value</w:t>
            </w:r>
          </w:p>
        </w:tc>
        <w:tc>
          <w:tcPr>
            <w:tcW w:type="dxa" w:w="5040"/>
          </w:tcPr>
          <w:p>
            <w:r>
              <w:rPr>
                <w:sz w:val="20"/>
              </w:rPr>
              <w:t>$6,885</w:t>
            </w:r>
          </w:p>
        </w:tc>
      </w:tr>
      <w:tr>
        <w:tc>
          <w:tcPr>
            <w:tcW w:type="dxa" w:w="5040"/>
          </w:tcPr>
          <w:p>
            <w:r>
              <w:rPr>
                <w:sz w:val="20"/>
              </w:rPr>
              <w:t>ROI (First Year)</w:t>
            </w:r>
          </w:p>
        </w:tc>
        <w:tc>
          <w:tcPr>
            <w:tcW w:type="dxa" w:w="5040"/>
          </w:tcPr>
          <w:p>
            <w:r>
              <w:rPr>
                <w:sz w:val="20"/>
              </w:rPr>
              <w:t>155% – 380%</w:t>
            </w:r>
          </w:p>
        </w:tc>
      </w:tr>
      <w:tr>
        <w:tc>
          <w:tcPr>
            <w:tcW w:type="dxa" w:w="5040"/>
          </w:tcPr>
          <w:p>
            <w:r>
              <w:rPr>
                <w:sz w:val="20"/>
              </w:rPr>
              <w:t>3-Year Net Benefit</w:t>
            </w:r>
          </w:p>
        </w:tc>
        <w:tc>
          <w:tcPr>
            <w:tcW w:type="dxa" w:w="5040"/>
          </w:tcPr>
          <w:p>
            <w:r>
              <w:rPr>
                <w:sz w:val="20"/>
              </w:rPr>
              <w:t>$61,047 – $123,012</w:t>
            </w:r>
          </w:p>
        </w:tc>
      </w:tr>
    </w:tbl>
    <w:p/>
    <w:p>
      <w:pPr>
        <w:pStyle w:val="Heading2"/>
      </w:pPr>
      <w:r>
        <w:rPr>
          <w:color w:val="003366"/>
        </w:rPr>
        <w:t>STRATEGIC OUTCOME</w:t>
      </w:r>
    </w:p>
    <w:p>
      <w:pPr>
        <w:pStyle w:val="ListBullet"/>
      </w:pPr>
      <w:r>
        <w:t>Reduce USA reliance by 66%</w:t>
      </w:r>
    </w:p>
    <w:p>
      <w:pPr>
        <w:pStyle w:val="ListBullet"/>
      </w:pPr>
      <w:r>
        <w:t>Add 3 new supply ecosystems to offset concentration</w:t>
      </w:r>
    </w:p>
    <w:p>
      <w:pPr>
        <w:pStyle w:val="ListBullet"/>
      </w:pPr>
      <w:r>
        <w:t>Increase supplier pricing competition across regions</w:t>
      </w:r>
    </w:p>
    <w:p>
      <w:pPr>
        <w:pStyle w:val="ListBullet"/>
      </w:pPr>
      <w:r>
        <w:t>Improve logistics routing resilience</w:t>
      </w:r>
    </w:p>
    <w:p>
      <w:pPr>
        <w:pStyle w:val="ListBullet"/>
      </w:pPr>
      <w:r>
        <w:t>Reduce corridor risk by ~25% with blended cost advantage</w:t>
      </w:r>
    </w:p>
    <w:p/>
    <w:p>
      <w:pPr>
        <w:pStyle w:val="Heading2"/>
      </w:pPr>
      <w:r>
        <w:rPr>
          <w:color w:val="003366"/>
        </w:rPr>
        <w:t>WHY THIS MATTERS</w:t>
      </w:r>
    </w:p>
    <w:p>
      <w:r>
        <w:t xml:space="preserve">This analysis reveals a critical supplier concentration issue in Office Supplies. With 100% of spend concentrated with one supplier, the organization faces significant vulnerability to supply disruptions, limited negotiating leverage, and reduced ability to respond to market changes. </w:t>
        <w:br/>
        <w:br/>
        <w:t>This matters because: (1) Supply chain resilience is now a board-level priority, (2) Procurement concentration directly impacts business continuity risk profiles, (3) Diversification typically yields 5-15% cost improvements through competitive pressure, and (4) immediate action required to maintain competitive procurement operations.</w:t>
      </w:r>
    </w:p>
    <w:p/>
    <w:p>
      <w:pPr>
        <w:pStyle w:val="Heading2"/>
      </w:pPr>
      <w:r>
        <w:rPr>
          <w:color w:val="003366"/>
        </w:rPr>
        <w:t>BUSINESS JUSTIFICATION</w:t>
      </w:r>
    </w:p>
    <w:p>
      <w:r>
        <w:t>BUSINESS CASE JUSTIFICATION:</w:t>
        <w:br/>
        <w:br/>
        <w:t>1. FINANCIAL RETURN: The proposed diversification is projected to deliver $16,524 to $37,179 in annual cost savings, representing a 155%-380% ROI on the estimated $9,180 implementation investment.</w:t>
        <w:br/>
        <w:br/>
        <w:t>2. RISK MITIGATION: Current risk level is rated CRITICAL. Reducing concentration by 25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(HIGH): At 62% concentration, the dominant supplier has excessive market power. This limits negotiating leverage and creates dependency.</w:t>
        <w:br/>
        <w:br/>
        <w:t>• GEOGRAPHIC RISK (HIGH): 100% of spend is concentrated in USA. This exposes the supply chain to regional disruptions including: natural disasters, political instability, trade policy changes, and logistics bottlenecks.</w:t>
        <w:br/>
        <w:br/>
        <w:t>• DIVERSITY RISK (CRITICAL): Only 2 supplier(s) active. Limited supplier pool means no fallback options during disruptions and insufficient competition to drive optimal pricing.</w:t>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INDIA, CHINA: These regions are identified as optimal for Office Supplies based on: </w:t>
        <w:br/>
        <w:t xml:space="preserve">   • India: Cost-effective operations + skilled workforce</w:t>
        <w:br/>
        <w:t xml:space="preserve">   • China: Manufacturing scale + supply chain efficiency</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current procurement strategy for Office Supplies presents a critical business issue due to the complete concentration of spend in the USA, totaling $459,000 annually. This 100% regional concentration significantly exceeds the recommended threshold of 40%, posing a substantial risk to the supply chain. Such a high concentration in a single region exposes the company to potential disruptions, including geopolitical instability, natural disasters, and economic fluctuations, which could severely impact supply continuity and cost stability.</w:t>
        <w:br/>
        <w:br/>
        <w:t>The problematic nature of this concentration is underscored by best practices in supplier risk management, which advocate for geographic diversification to mitigate exposure to regional disruptions [SOURCE-1]. Maintaining a diverse supplier base across multiple regions not only reduces risk but also enhances supply chain resilience. The current strategy, with all spend concentrated in the USA, lacks this critical diversification, leaving the company vulnerable to any adverse events affecting this region.</w:t>
        <w:br/>
        <w:br/>
        <w:t>To address this issue, a strategic diversification plan is recommended. This involves identifying and qualifying suppliers in alternative regions, such as low-cost manufacturing hubs like India, China, and Vietnam, as suggested by regional procurement strategies [SOURCE-5]. By reallocating a portion of the spend to these regions, the company can achieve a more balanced and resilient supply chain. The diversification strategy should also consider factors such as total cost of ownership, including logistics and lead times, to ensure that cost efficiencies are realized without compromising quality or service levels.</w:t>
        <w:br/>
        <w:br/>
        <w:t>The expected financial benefits of implementing this diversification strategy are considerable. Projected annual savings range from $16,524 to $37,179, with a projected ROI of 155% to 380%, reflecting the substantial cost efficiencies and risk mitigation benefits that can be achieved [SOURCE-2]. This strategic move not only enhances supply chain resilience but also positions the company for sustainable growth by leveraging cost-effective sourcing opportunities in diverse regions.</w:t>
        <w:br/>
        <w:br/>
        <w:t>---</w:t>
        <w:br/>
        <w:t>Sources: supplier_risk.txt, roi_calculations.txt, spend_data.csv:Packaging Materials</w:t>
      </w:r>
    </w:p>
    <w:p/>
    <w:p>
      <w:pPr>
        <w:pStyle w:val="Heading2"/>
      </w:pPr>
      <w:r>
        <w:rPr>
          <w:color w:val="003366"/>
        </w:rPr>
        <w:t>🤖 AI-POWERED RISK ANALYSIS</w:t>
      </w:r>
    </w:p>
    <w:p>
      <w:pPr>
        <w:spacing w:after="240"/>
      </w:pPr>
      <w:r>
        <w:t>## DETAILED RISK ANALYSIS</w:t>
        <w:br/>
        <w:br/>
        <w:t>### Current Risk Exposure</w:t>
        <w:br/>
        <w:br/>
        <w:t>The current risk exposure for the Office Supplies category is critically high, as indicated by the overall risk score of 3.7 out of 4.0, placing it at a CRITICAL risk level. This high-risk score is driven by several factors, including supply chain risk, geographic risk, and supplier diversity risk. The total spend at risk amounts to $459,000, which is significant given the critical nature of the identified risks. The concentration of spend in the Americas region and dependency on a single supplier further exacerbate this risk profile, necessitating immediate attention to mitigate potential disruptions [SOURCE-2].</w:t>
        <w:br/>
        <w:br/>
        <w:t>### Rule Violation Analysis</w:t>
        <w:br/>
        <w:br/>
        <w:t>The risk matrix highlights several rule violations that contribute to the overall risk exposure. The most pressing violation is the regional concentration, where 100% of the spend is concentrated in the Americas, exceeding the 40% threshold by 60%. This geographic concentration poses a critical risk as it leaves the supply chain vulnerable to regional disruptions, such as political instability or natural disasters [SOURCE-3]. Additionally, there is a single supplier dependency violation, with Staples accounting for 62.4% of the spend, surpassing the 60% limit. This dependency on a single supplier increases the risk of supply chain disruptions if the supplier faces operational challenges or financial instability [SOURCE-3].</w:t>
        <w:br/>
        <w:br/>
        <w:t>### Risk Interdependencies</w:t>
        <w:br/>
        <w:br/>
        <w:t>The calculated risks are interdependent and compound each other, amplifying the overall risk exposure. The geographic concentration risk is intertwined with the supplier diversity risk, as reliance on a single region limits the ability to diversify suppliers effectively. This lack of diversification not only increases the vulnerability to regional disruptions but also limits the negotiation power with suppliers, potentially leading to unfavorable contract terms. Furthermore, the single supplier dependency exacerbates the geographic risk, as any disruption affecting the supplier could have a cascading effect on the entire supply chain, given the lack of alternative sources [SOURCE-1].</w:t>
        <w:br/>
        <w:br/>
        <w:t>### Mitigation Urgency</w:t>
        <w:br/>
        <w:br/>
        <w:t>Given the critical risk levels identified, immediate action is required to mitigate these risks. The high concentration of spend in the Americas and dependency on a single supplier necessitate a strategic shift towards diversifying the supplier base and exploring alternative regions for sourcing. Implementing dual sourcing strategies and expanding the supplier network can significantly reduce the exposure to regional and supplier-specific risks, enhancing the resilience of the supply chain [SOURCE-1]. The urgency of these actions is underscored by the potential for significant operational disruptions if these risks are not addressed promptly, as highlighted by the critical risk scores and rule violations [SOURCE-2].</w:t>
        <w:br/>
        <w:br/>
        <w:t>---</w:t>
        <w:br/>
        <w:t>Sources: supplier_risk.txt, risk_assessment.txt, procurement_rulebook.csv</w:t>
      </w:r>
    </w:p>
    <w:p/>
    <w:p>
      <w:pPr>
        <w:pStyle w:val="Heading2"/>
      </w:pPr>
      <w:r>
        <w:rPr>
          <w:color w:val="003366"/>
        </w:rPr>
        <w:t>🤖 AI-GENERATED STRATEGIC RECOMMENDATIONS</w:t>
      </w:r>
    </w:p>
    <w:p>
      <w:pPr>
        <w:spacing w:after="240"/>
      </w:pPr>
      <w:r>
        <w:t>## STRATEGIC RECOMMENDATIONS</w:t>
        <w:br/>
        <w:br/>
        <w:t>### Immediate Actions</w:t>
        <w:br/>
        <w:br/>
        <w:t>To address the current procurement challenges in the Office Supplies category, the first step should be to initiate a supplier qualification process. This aligns with the best practices of maintaining a diversified supplier base to mitigate supply chain risks, as highlighted in [SOURCE-1]. By qualifying multiple suppliers, procurement can reduce dependency on a single source and enhance resilience against potential disruptions. This process should commence immediately and be completed within the first four weeks, as outlined in the implementation phases from the DATA SECTION.</w:t>
        <w:br/>
        <w:br/>
        <w:t>### Short-Term Wins</w:t>
        <w:br/>
        <w:br/>
        <w:t>In the short term, procurement can leverage cost advantages by exploring sourcing opportunities in regions such as India, China, and Mexico. These regions offer significant cost benefits, with potential savings ranging from $5,508 to $12,393, as detailed in the DATA SECTION. By capitalizing on these regional cost efficiencies, procurement can achieve quick wins that contribute to the overall savings goal. This approach not only reduces costs but also aligns with the regional procurement strategies of considering total cost of ownership and nearshoring benefits [SOURCE-4].</w:t>
        <w:br/>
        <w:br/>
        <w:t>### Strategic Initiatives</w:t>
        <w:br/>
        <w:br/>
        <w:t>Following the initial supplier qualification, the next strategic initiative should involve implementing pilot contracts with selected suppliers. This phase, scheduled for weeks 5-12, allows procurement to test supplier performance and assess the feasibility of scaling up operations. The subsequent performance review in week 13 will provide critical insights into supplier capabilities and areas for improvement. Finally, the scale-up phase from weeks 14-26 will enable full integration of successful suppliers into the procurement strategy, ensuring sustained cost savings and supply chain stability.</w:t>
        <w:br/>
        <w:br/>
        <w:t>### Governance &amp; Monitoring</w:t>
        <w:br/>
        <w:br/>
        <w:t>To effectively track the projected savings, a robust governance and monitoring framework should be established. This framework should include regular performance reviews, financial audits, and supplier assessments to ensure that savings targets are met. The projected savings for the Office Supplies category range from $16,524 to $37,179, with a payback period of 2.5 to 4.7 months, as per the DATA SECTION. By closely monitoring these metrics, procurement can make informed decisions and adjust strategies as needed to maximize ROI.</w:t>
        <w:br/>
        <w:br/>
        <w:t>### Success Metrics</w:t>
        <w:br/>
        <w:br/>
        <w:t>The success of the procurement strategy will be measured by the 3-year net benefit, which is projected to be between $61,047 and $123,012, as stated in the DATA SECTION. This metric, along with the payback period, serves as a critical indicator of the financial impact of procurement initiatives. By achieving these targets, procurement can demonstrate the value of strategic sourcing and its contribution to the organization's bottom line. The ROI calculations, as referenced in [SOURCE-2], provide a framework for evaluating the long-term benefits of these initiatives, ensuring that procurement efforts are aligned with organizational goals.</w:t>
        <w:br/>
        <w:br/>
        <w:t>---</w:t>
        <w:br/>
        <w:t>Sources: supplier_risk.txt, roi_calculations.txt, spend_data.csv:Packaging Materials</w:t>
      </w:r>
    </w:p>
    <w:p/>
    <w:p>
      <w:pPr>
        <w:pStyle w:val="Heading2"/>
      </w:pPr>
      <w:r>
        <w:rPr>
          <w:color w:val="003366"/>
        </w:rPr>
        <w:t>🤖 AI MARKET INTELLIGENCE</w:t>
      </w:r>
    </w:p>
    <w:p>
      <w:pPr>
        <w:spacing w:after="240"/>
      </w:pPr>
      <w:r>
        <w:t>The Office Supplies market continues to evolve with shifting global supply dynamics. Current sourcing</w:t>
        <w:br/>
        <w:t>is concentrated in USA, India, China, representing the primary supply corridor for this category.</w:t>
        <w:br/>
        <w:br/>
        <w:t>Regional analysis indicates opportunities for optimization. India, China, Mexico represent emerging</w:t>
        <w:br/>
        <w:t>sourcing alternatives with competitive cost structures. These regions offer potential savings</w:t>
        <w:br/>
        <w:t>of 8%-18% compared to traditional sourcing locations, while maintaining</w:t>
        <w:br/>
        <w:t>quality standards aligned with enterprise requirements.</w:t>
        <w:br/>
        <w:br/>
        <w:t>The supplier landscape in this category ranges from large multinational providers to specialized</w:t>
        <w:br/>
        <w:t>regional players. Market consolidation trends suggest the importance of securing strategic</w:t>
        <w:br/>
        <w:t>supplier relationships while maintaining competitive tension through multi-sourcing strategies.</w:t>
        <w:br/>
        <w:br/>
        <w:t>Key considerations for Office Supplies sourcing include total cost of ownership (including logistics),</w:t>
        <w:br/>
        <w:t>supplier reliability metrics, quality certification requirements, and alignment with sustainability</w:t>
        <w:br/>
        <w:t>objectives. A balanced approach across multiple regions and suppliers optimizes both cost and</w:t>
        <w:br/>
        <w:t>risk exposure.</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Shortlist suppliers in India, China, Mexico</w:t>
      </w:r>
    </w:p>
    <w:p>
      <w:r>
        <w:t>2. Initiate 8–12 week pilot contracts</w:t>
      </w:r>
    </w:p>
    <w:p>
      <w:r>
        <w:t>3. Review pricing and delivery performance quarterly</w:t>
      </w:r>
    </w:p>
    <w:p>
      <w:r>
        <w:t>4. Reduce concentration further if pilots outperform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