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CANOLA OIL DIVERSIFICATION</w:t>
      </w:r>
    </w:p>
    <w:p>
      <w:pPr>
        <w:jc w:val="center"/>
      </w:pPr>
      <w:r>
        <w:rPr>
          <w:i/>
          <w:sz w:val="22"/>
        </w:rPr>
        <w:t>Supplier Concentration Analysis &amp; Diversification Strategy</w:t>
      </w:r>
    </w:p>
    <w:p>
      <w:pPr>
        <w:jc w:val="center"/>
      </w:pPr>
      <w:r>
        <w:rPr>
          <w:b/>
          <w:sz w:val="24"/>
        </w:rPr>
        <w:t>Total Category Spend 2026: USD 918,000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Richardson Oilseed</w:t>
            </w:r>
          </w:p>
        </w:tc>
      </w:tr>
      <w:tr>
        <w:tc>
          <w:tcPr>
            <w:tcW w:type="dxa" w:w="5040"/>
          </w:tcPr>
          <w:p>
            <w:r>
              <w:rPr>
                <w:sz w:val="20"/>
              </w:rPr>
              <w:t>Supplier Location</w:t>
            </w:r>
          </w:p>
        </w:tc>
        <w:tc>
          <w:tcPr>
            <w:tcW w:type="dxa" w:w="5040"/>
          </w:tcPr>
          <w:p>
            <w:r>
              <w:rPr>
                <w:sz w:val="20"/>
              </w:rPr>
              <w:t>Canada</w:t>
            </w:r>
          </w:p>
        </w:tc>
      </w:tr>
      <w:tr>
        <w:tc>
          <w:tcPr>
            <w:tcW w:type="dxa" w:w="5040"/>
          </w:tcPr>
          <w:p>
            <w:r>
              <w:rPr>
                <w:sz w:val="20"/>
              </w:rPr>
              <w:t>Spend Share</w:t>
            </w:r>
          </w:p>
        </w:tc>
        <w:tc>
          <w:tcPr>
            <w:tcW w:type="dxa" w:w="5040"/>
          </w:tcPr>
          <w:p>
            <w:r>
              <w:rPr>
                <w:sz w:val="20"/>
              </w:rPr>
              <w:t>69% = USD 637,200</w:t>
            </w:r>
          </w:p>
        </w:tc>
      </w:tr>
      <w:tr>
        <w:tc>
          <w:tcPr>
            <w:tcW w:type="dxa" w:w="5040"/>
          </w:tcPr>
          <w:p>
            <w:r>
              <w:rPr>
                <w:sz w:val="20"/>
              </w:rPr>
              <w:t>Current Canola Oil Buying from Supplier</w:t>
            </w:r>
          </w:p>
        </w:tc>
        <w:tc>
          <w:tcPr>
            <w:tcW w:type="dxa" w:w="5040"/>
          </w:tcPr>
          <w:p>
            <w:r>
              <w:rPr>
                <w:sz w:val="20"/>
              </w:rPr>
              <w:t>Yes</w:t>
            </w:r>
          </w:p>
        </w:tc>
      </w:tr>
      <w:tr>
        <w:tc>
          <w:tcPr>
            <w:tcW w:type="dxa" w:w="5040"/>
          </w:tcPr>
          <w:p>
            <w:r>
              <w:rPr>
                <w:sz w:val="20"/>
              </w:rPr>
              <w:t>Alternate Supplier for Canola Oil</w:t>
            </w:r>
          </w:p>
        </w:tc>
        <w:tc>
          <w:tcPr>
            <w:tcW w:type="dxa" w:w="5040"/>
          </w:tcPr>
          <w:p>
            <w:r>
              <w:rPr>
                <w:sz w:val="20"/>
              </w:rPr>
              <w:t>None active today</w:t>
            </w:r>
          </w:p>
        </w:tc>
      </w:tr>
      <w:tr>
        <w:tc>
          <w:tcPr>
            <w:tcW w:type="dxa" w:w="5040"/>
          </w:tcPr>
          <w:p>
            <w:r>
              <w:rPr>
                <w:sz w:val="20"/>
              </w:rPr>
              <w:t>Key Risk</w:t>
            </w:r>
          </w:p>
        </w:tc>
        <w:tc>
          <w:tcPr>
            <w:tcW w:type="dxa" w:w="5040"/>
          </w:tcPr>
          <w:p>
            <w:r>
              <w:rPr>
                <w:sz w:val="20"/>
              </w:rPr>
              <w:t>High supplier concentration (69%) and Americas supply corridor dependency</w:t>
            </w:r>
          </w:p>
        </w:tc>
      </w:tr>
    </w:tbl>
    <w:p/>
    <w:p>
      <w:pPr>
        <w:pStyle w:val="Heading3"/>
      </w:pPr>
      <w:r>
        <w:rPr>
          <w:color w:val="003366"/>
        </w:rPr>
        <w:t>OVERALL RISK STATEMENT</w:t>
      </w:r>
    </w:p>
    <w:p>
      <w:pPr>
        <w:spacing w:after="240"/>
      </w:pPr>
      <w:r>
        <w:t xml:space="preserve">Our current canola oil procurement involves 2 suppliers, with Richardson Oilseed as the dominant supplier at 69% of total category spend (USD 637,200 of USD 918,000 in 2026). Other suppliers include: Viterra Canada (31%). All suppliers operate from Canada. There are no other qualified Canola Oil suppliers in our approved supplier database. New supplier qualification will be required for diversification. </w:t>
        <w:br/>
        <w:br/>
        <w:t>This creates both a high supplier concentration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Richardson Oilseed</w:t>
            </w:r>
          </w:p>
        </w:tc>
        <w:tc>
          <w:tcPr>
            <w:tcW w:type="dxa" w:w="2520"/>
          </w:tcPr>
          <w:p>
            <w:r>
              <w:rPr>
                <w:sz w:val="20"/>
              </w:rPr>
              <w:t>69%</w:t>
            </w:r>
          </w:p>
        </w:tc>
        <w:tc>
          <w:tcPr>
            <w:tcW w:type="dxa" w:w="2520"/>
          </w:tcPr>
          <w:p>
            <w:r>
              <w:rPr>
                <w:sz w:val="20"/>
              </w:rPr>
              <w:t>55%</w:t>
            </w:r>
          </w:p>
        </w:tc>
        <w:tc>
          <w:tcPr>
            <w:tcW w:type="dxa" w:w="2520"/>
          </w:tcPr>
          <w:p>
            <w:r>
              <w:rPr>
                <w:sz w:val="20"/>
              </w:rPr>
              <w:t>69% → 55% = 20.7% reduction</w:t>
            </w:r>
          </w:p>
        </w:tc>
      </w:tr>
      <w:tr>
        <w:tc>
          <w:tcPr>
            <w:tcW w:type="dxa" w:w="2520"/>
          </w:tcPr>
          <w:p>
            <w:r>
              <w:rPr>
                <w:sz w:val="20"/>
              </w:rPr>
              <w:t>New Alternate Supplier</w:t>
            </w:r>
          </w:p>
        </w:tc>
        <w:tc>
          <w:tcPr>
            <w:tcW w:type="dxa" w:w="2520"/>
          </w:tcPr>
          <w:p>
            <w:r>
              <w:rPr>
                <w:sz w:val="20"/>
              </w:rPr>
              <w:t>0%</w:t>
            </w:r>
          </w:p>
        </w:tc>
        <w:tc>
          <w:tcPr>
            <w:tcW w:type="dxa" w:w="2520"/>
          </w:tcPr>
          <w:p>
            <w:r>
              <w:rPr>
                <w:sz w:val="20"/>
              </w:rPr>
              <w:t>14%</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CANOLA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Lower raw material input costs + scaling extraction infrastructure</w:t>
            </w:r>
          </w:p>
        </w:tc>
        <w:tc>
          <w:tcPr>
            <w:tcW w:type="dxa" w:w="3360"/>
          </w:tcPr>
          <w:p>
            <w:r>
              <w:rPr>
                <w:sz w:val="20"/>
              </w:rPr>
              <w:t>$11,016 – $27,540</w:t>
            </w:r>
          </w:p>
        </w:tc>
      </w:tr>
      <w:tr>
        <w:tc>
          <w:tcPr>
            <w:tcW w:type="dxa" w:w="3360"/>
          </w:tcPr>
          <w:p>
            <w:r>
              <w:rPr>
                <w:sz w:val="20"/>
              </w:rPr>
              <w:t>Thailand</w:t>
            </w:r>
          </w:p>
        </w:tc>
        <w:tc>
          <w:tcPr>
            <w:tcW w:type="dxa" w:w="3360"/>
          </w:tcPr>
          <w:p>
            <w:r>
              <w:rPr>
                <w:sz w:val="20"/>
              </w:rPr>
              <w:t>Port efficiency + strong processing ecosystem</w:t>
            </w:r>
          </w:p>
        </w:tc>
        <w:tc>
          <w:tcPr>
            <w:tcW w:type="dxa" w:w="3360"/>
          </w:tcPr>
          <w:p>
            <w:r>
              <w:rPr>
                <w:sz w:val="20"/>
              </w:rPr>
              <w:t>$11,016 – $27,540</w:t>
            </w:r>
          </w:p>
        </w:tc>
      </w:tr>
      <w:tr>
        <w:tc>
          <w:tcPr>
            <w:tcW w:type="dxa" w:w="3360"/>
          </w:tcPr>
          <w:p>
            <w:r>
              <w:rPr>
                <w:sz w:val="20"/>
              </w:rPr>
              <w:t>Indonesia</w:t>
            </w:r>
          </w:p>
        </w:tc>
        <w:tc>
          <w:tcPr>
            <w:tcW w:type="dxa" w:w="3360"/>
          </w:tcPr>
          <w:p>
            <w:r>
              <w:rPr>
                <w:sz w:val="20"/>
              </w:rPr>
              <w:t>High production capacity + efficient supply chains</w:t>
            </w:r>
          </w:p>
        </w:tc>
        <w:tc>
          <w:tcPr>
            <w:tcW w:type="dxa" w:w="3360"/>
          </w:tcPr>
          <w:p>
            <w:r>
              <w:rPr>
                <w:sz w:val="20"/>
              </w:rPr>
              <w:t>$11,016 – $27,540</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$33,048 – $82,620</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$33,048 – $82,620</w:t>
            </w:r>
          </w:p>
        </w:tc>
      </w:tr>
      <w:tr>
        <w:tc>
          <w:tcPr>
            <w:tcW w:type="dxa" w:w="5040"/>
          </w:tcPr>
          <w:p>
            <w:r>
              <w:rPr>
                <w:sz w:val="20"/>
              </w:rPr>
              <w:t>Risk Reduction Value</w:t>
            </w:r>
          </w:p>
        </w:tc>
        <w:tc>
          <w:tcPr>
            <w:tcW w:type="dxa" w:w="5040"/>
          </w:tcPr>
          <w:p>
            <w:r>
              <w:rPr>
                <w:sz w:val="20"/>
              </w:rPr>
              <w:t>$12,622</w:t>
            </w:r>
          </w:p>
        </w:tc>
      </w:tr>
      <w:tr>
        <w:tc>
          <w:tcPr>
            <w:tcW w:type="dxa" w:w="5040"/>
          </w:tcPr>
          <w:p>
            <w:r>
              <w:rPr>
                <w:sz w:val="20"/>
              </w:rPr>
              <w:t>Implementation Cost</w:t>
            </w:r>
          </w:p>
        </w:tc>
        <w:tc>
          <w:tcPr>
            <w:tcW w:type="dxa" w:w="5040"/>
          </w:tcPr>
          <w:p>
            <w:r>
              <w:rPr>
                <w:sz w:val="20"/>
              </w:rPr>
              <w:t>$18,360</w:t>
            </w:r>
          </w:p>
        </w:tc>
      </w:tr>
      <w:tr>
        <w:tc>
          <w:tcPr>
            <w:tcW w:type="dxa" w:w="5040"/>
          </w:tcPr>
          <w:p>
            <w:r>
              <w:rPr>
                <w:sz w:val="20"/>
              </w:rPr>
              <w:t>ROI (First Year)</w:t>
            </w:r>
          </w:p>
        </w:tc>
        <w:tc>
          <w:tcPr>
            <w:tcW w:type="dxa" w:w="5040"/>
          </w:tcPr>
          <w:p>
            <w:r>
              <w:rPr>
                <w:sz w:val="20"/>
              </w:rPr>
              <w:t>149% – 419%</w:t>
            </w:r>
          </w:p>
        </w:tc>
      </w:tr>
      <w:tr>
        <w:tc>
          <w:tcPr>
            <w:tcW w:type="dxa" w:w="5040"/>
          </w:tcPr>
          <w:p>
            <w:r>
              <w:rPr>
                <w:sz w:val="20"/>
              </w:rPr>
              <w:t>Payback Period</w:t>
            </w:r>
          </w:p>
        </w:tc>
        <w:tc>
          <w:tcPr>
            <w:tcW w:type="dxa" w:w="5040"/>
          </w:tcPr>
          <w:p>
            <w:r>
              <w:rPr>
                <w:sz w:val="20"/>
              </w:rPr>
              <w:t>2.3 – 4.8 months</w:t>
            </w:r>
          </w:p>
        </w:tc>
      </w:tr>
      <w:tr>
        <w:tc>
          <w:tcPr>
            <w:tcW w:type="dxa" w:w="5040"/>
          </w:tcPr>
          <w:p>
            <w:r>
              <w:rPr>
                <w:sz w:val="20"/>
              </w:rPr>
              <w:t>3-Year Net Benefit</w:t>
            </w:r>
          </w:p>
        </w:tc>
        <w:tc>
          <w:tcPr>
            <w:tcW w:type="dxa" w:w="5040"/>
          </w:tcPr>
          <w:p>
            <w:r>
              <w:rPr>
                <w:sz w:val="20"/>
              </w:rPr>
              <w:t>$118,652 – $267,368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Richardson Oilseed</w:t>
            </w:r>
          </w:p>
        </w:tc>
        <w:tc>
          <w:tcPr>
            <w:tcW w:type="dxa" w:w="2016"/>
          </w:tcPr>
          <w:p>
            <w:r>
              <w:rPr>
                <w:sz w:val="20"/>
              </w:rPr>
              <w:t>$637,200</w:t>
            </w:r>
          </w:p>
        </w:tc>
        <w:tc>
          <w:tcPr>
            <w:tcW w:type="dxa" w:w="2016"/>
          </w:tcPr>
          <w:p>
            <w:r>
              <w:rPr>
                <w:sz w:val="20"/>
              </w:rPr>
              <w:t>4.7/5.0</w:t>
            </w:r>
          </w:p>
        </w:tc>
        <w:tc>
          <w:tcPr>
            <w:tcW w:type="dxa" w:w="2016"/>
          </w:tcPr>
          <w:p>
            <w:r>
              <w:rPr>
                <w:sz w:val="20"/>
              </w:rPr>
              <w:t>93%</w:t>
            </w:r>
          </w:p>
        </w:tc>
        <w:tc>
          <w:tcPr>
            <w:tcW w:type="dxa" w:w="2016"/>
          </w:tcPr>
          <w:p>
            <w:r>
              <w:rPr>
                <w:sz w:val="20"/>
              </w:rPr>
              <w:t>8.0/10</w:t>
            </w:r>
          </w:p>
        </w:tc>
      </w:tr>
      <w:tr>
        <w:tc>
          <w:tcPr>
            <w:tcW w:type="dxa" w:w="2016"/>
          </w:tcPr>
          <w:p>
            <w:r>
              <w:rPr>
                <w:sz w:val="20"/>
              </w:rPr>
              <w:t>Viterra Canada</w:t>
            </w:r>
          </w:p>
        </w:tc>
        <w:tc>
          <w:tcPr>
            <w:tcW w:type="dxa" w:w="2016"/>
          </w:tcPr>
          <w:p>
            <w:r>
              <w:rPr>
                <w:sz w:val="20"/>
              </w:rPr>
              <w:t>$280,800</w:t>
            </w:r>
          </w:p>
        </w:tc>
        <w:tc>
          <w:tcPr>
            <w:tcW w:type="dxa" w:w="2016"/>
          </w:tcPr>
          <w:p>
            <w:r>
              <w:rPr>
                <w:sz w:val="20"/>
              </w:rPr>
              <w:t>4.6/5.0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69% to 55% in Phase 1</w:t>
      </w:r>
    </w:p>
    <w:p>
      <w:pPr>
        <w:pStyle w:val="ListBullet"/>
      </w:pPr>
      <w:r>
        <w:t>Activate 14%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33,048–82,620 while improving supply continuity</w:t>
      </w:r>
    </w:p>
    <w:p/>
    <w:p>
      <w:pPr>
        <w:pStyle w:val="Heading2"/>
      </w:pPr>
      <w:r>
        <w:rPr>
          <w:color w:val="003366"/>
        </w:rPr>
        <w:t>WHY THIS MATTERS</w:t>
      </w:r>
    </w:p>
    <w:p>
      <w:r>
        <w:t xml:space="preserve">This analysis reveals a high supplier concentration issue in Canola Oil. With 69%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proactive action recommended to maintain competitive procurement operations.</w:t>
      </w:r>
    </w:p>
    <w:p/>
    <w:p>
      <w:pPr>
        <w:pStyle w:val="Heading2"/>
      </w:pPr>
      <w:r>
        <w:rPr>
          <w:color w:val="003366"/>
        </w:rPr>
        <w:t>BUSINESS JUSTIFICATION</w:t>
      </w:r>
    </w:p>
    <w:p>
      <w:r>
        <w:t>BUSINESS CASE JUSTIFICATION:</w:t>
        <w:br/>
        <w:br/>
        <w:t>1. FINANCIAL RETURN: The proposed diversification is projected to deliver $33,048 to $82,620 in annual cost savings, representing a 149%-419% ROI on the estimated $18,360 implementation investment.</w:t>
        <w:br/>
        <w:br/>
        <w:t>2. RISK MITIGATION: Current risk level is rated CRITICAL. Reducing concentration by 14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69% concentration, the dominant supplier has excessive market power. This limits negotiating leverage and creates dependency.</w:t>
        <w:br/>
        <w:br/>
        <w:t>• GEOGRAPHIC RISK (HIGH): 100% of spend is concentrated in Canada.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THAILAND: These regions are identified as optimal for Canola Oil based on: </w:t>
        <w:br/>
        <w:t xml:space="preserve">   • India: Lower raw material input costs + scaling extraction infrastructure</w:t>
        <w:br/>
        <w:t xml:space="preserve">   • Thailand: Port efficiency + strong processing ecosystem</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critical business issue facing the procurement of Canola Oil is the high supplier concentration, with Richardson Oilseed accounting for 69.4% of the total annual spend of $918,000, equating to $637,200. This heavy reliance on a single supplier not only elevates the risk level to critical but also exposes the supply chain to significant vulnerabilities, particularly given the dependency on the Americas supply corridor. The financial implications of this concentration are profound, as any disruption could severely impact supply continuity and cost stability.</w:t>
        <w:br/>
        <w:br/>
        <w:t>This concentration is problematic because high supplier concentration, especially over 50% with a single supplier, creates significant supply chain risk, as highlighted in [SOURCE-2]. Best practices in supplier risk management suggest maintaining at least 3-5 qualified suppliers for critical categories to mitigate such risks. Geographic diversification is also recommended to reduce exposure to regional disruptions, thereby balancing cost efficiency with risk mitigation. The current scenario with only two active suppliers, where one dominates the spend, leaves the company vulnerable to supplier-specific risks and potential price volatility.</w:t>
        <w:br/>
        <w:br/>
        <w:t>To address this issue, a diversification strategy is recommended. This involves introducing additional suppliers to reduce reliance on Richardson Oilseed and balance the supplier portfolio. By strategically sourcing from alternative suppliers, the company can lower its concentration risk and enhance supply chain resilience. This approach aligns with the dual sourcing strategies mentioned in [SOURCE-2], which aim to balance cost efficiency with risk mitigation.</w:t>
        <w:br/>
        <w:br/>
        <w:t>The expected financial benefits of implementing this diversification strategy are significant. With projected annual savings ranging from $33,048 to $82,620 and an implementation cost of $18,360, the projected return on investment (ROI) is between 149% and 419%. Over a three-year period, the net benefit is estimated to be between $118,652 and $267,368. These figures underscore the strategic advantage of diversifying the supplier base, not only in terms of risk reduction but also in achieving substantial cost savings and enhancing the overall resilience of the supply chain.</w:t>
        <w:br/>
        <w:br/>
        <w:t>---</w:t>
        <w:br/>
        <w:t>Sources: spend_data.csv:Edible Oils, supplier_risk.txt, supplier_master.csv</w:t>
      </w:r>
    </w:p>
    <w:p/>
    <w:p>
      <w:pPr>
        <w:pStyle w:val="Heading2"/>
      </w:pPr>
      <w:r>
        <w:rPr>
          <w:color w:val="003366"/>
        </w:rPr>
        <w:t>🤖 AI-POWERED RISK ANALYSIS</w:t>
      </w:r>
    </w:p>
    <w:p>
      <w:pPr>
        <w:spacing w:after="240"/>
      </w:pPr>
      <w:r>
        <w:t>## DETAILED RISK ANALYSIS</w:t>
        <w:br/>
        <w:br/>
        <w:t>### CURRENT RISK EXPOSURE</w:t>
        <w:br/>
        <w:br/>
        <w:t>The current risk exposure for the Canola Oil category is at a **CRITICAL** level, as indicated by an overall risk score of 3.7 out of 4.0. This high risk score is primarily driven by two critical factors: supply chain risk and geographic risk. The total spend at risk is $918,000, which represents a significant portion of the procurement budget for this category. The critical nature of these risks necessitates immediate attention to prevent potential disruptions that could severely impact supply continuity and cost efficiency.</w:t>
        <w:br/>
        <w:br/>
        <w:t>### RULE VIOLATION ANALYSIS</w:t>
        <w:br/>
        <w:br/>
        <w:t>The procurement strategy for Canola Oil is currently in violation of several key rules, which exacerbate the risk exposure. Notably, there is a **VIOLATION** of the regional concentration rule, with 100% of the spend concentrated in the Americas, exceeding the 40% threshold by 60%. This geographic concentration significantly heightens the risk of regional disruptions impacting the supply chain. Additionally, there is a **VIOLATION** of the single supplier dependency rule, as Richardson Oilseed accounts for 69.4% of the spend, surpassing the 60% limit by 9.4%. This dependency on a single supplier poses a critical risk, as any issues with Richardson Oilseed could lead to severe supply shortages. Other violations include the minimum order quantity and diverse supplier spend, indicating a lack of supplier diversity and flexibility in procurement practices.</w:t>
        <w:br/>
        <w:br/>
        <w:t>### RISK INTERDEPENDENCIES</w:t>
        <w:br/>
        <w:br/>
        <w:t>The calculated risks are interdependent and compound each other, creating a precarious situation for the procurement of Canola Oil. The geographic concentration risk is compounded by the single supplier dependency, as both factors increase vulnerability to regional disruptions and supplier-specific issues. According to [SOURCE-1], maintaining a diverse supplier base and geographic diversification are best practices to mitigate such risks. The lack of supplier diversity further exacerbates these risks, as it limits the ability to switch suppliers or regions in response to disruptions. This interconnectedness of risks underscores the need for a comprehensive risk management strategy that addresses all these factors simultaneously.</w:t>
        <w:br/>
        <w:br/>
        <w:t>### MITIGATION URGENCY</w:t>
        <w:br/>
        <w:br/>
        <w:t>Given the **CRITICAL** risk level and multiple rule violations, immediate action is required to mitigate these risks. The high concentration of spend in the Americas and reliance on a single supplier present significant vulnerabilities that could lead to supply chain disruptions, as highlighted in [SOURCE-2]. To mitigate these risks, it is essential to diversify the supplier base and reduce geographic concentration. Implementing dual sourcing strategies and expanding the supplier network to include regions outside the Americas can help balance cost efficiency with risk mitigation. The urgency of these actions is underscored by the potential impact on supply continuity and cost if these risks are not addressed promptly.</w:t>
        <w:br/>
        <w:br/>
        <w:t>---</w:t>
        <w:br/>
        <w:t>Sources: supplier_risk.txt, risk_assessment.txt, spend_data.csv:Edible Oils</w:t>
      </w:r>
    </w:p>
    <w:p/>
    <w:p>
      <w:pPr>
        <w:pStyle w:val="Heading2"/>
      </w:pPr>
      <w:r>
        <w:rPr>
          <w:color w:val="003366"/>
        </w:rPr>
        <w:t>🤖 AI-GENERATED STRATEGIC RECOMMENDATIONS</w:t>
      </w:r>
    </w:p>
    <w:p>
      <w:pPr>
        <w:spacing w:after="240"/>
      </w:pPr>
      <w:r>
        <w:t>## STRATEGIC RECOMMENDATIONS</w:t>
        <w:br/>
        <w:br/>
        <w:t>### Immediate Actions</w:t>
        <w:br/>
        <w:br/>
        <w:t>The first step for procurement should be to initiate a supplier qualification process, as outlined in the implementation phases. This involves identifying and assessing potential suppliers in India, Thailand, and Indonesia, where cost advantages are significant due to lower raw material input costs, efficient supply chains, and strong processing ecosystems. This aligns with the best practice of maintaining at least 3-5 qualified suppliers for critical categories to mitigate supplier concentration risk [SOURCE-2]. The qualification process should take place over Weeks 1-4, ensuring that suppliers meet the necessary quality and sustainability standards.</w:t>
        <w:br/>
        <w:br/>
        <w:t>### Short-Term Wins</w:t>
        <w:br/>
        <w:br/>
        <w:t>To achieve quick wins, procurement should leverage the cost advantages identified in the data section. By focusing on suppliers in India, Thailand, and Indonesia, the organization can realize immediate cost savings ranging from $11,016 to $27,540 per region. These savings are attributed to factors such as port efficiency and high production capacity, which are critical for reducing overall procurement costs. Implementing pilot contracts during Weeks 5-12 will allow the organization to test these suppliers' capabilities and begin capturing these savings early in the process.</w:t>
        <w:br/>
        <w:br/>
        <w:t>### Strategic Initiatives</w:t>
        <w:br/>
        <w:br/>
        <w:t>Following the initial supplier qualification and pilot contracts, the organization should move into larger strategic initiatives. This involves scaling up successful supplier relationships during Weeks 14-26, as detailed in the implementation phases. The scale-up phase will be crucial for achieving the projected 3-year net benefit of $118,652 to $267,368, as it allows the organization to fully integrate new suppliers into its supply chain and optimize procurement processes for long-term efficiency.</w:t>
        <w:br/>
        <w:br/>
        <w:t>### Governance &amp; Monitoring</w:t>
        <w:br/>
        <w:br/>
        <w:t>To ensure that the projected savings are realized, a robust governance and monitoring framework should be established. This includes setting up regular performance reviews, as scheduled in Week 13, to assess supplier performance against key metrics such as delivery reliability and cost savings. Continuous monitoring will help track progress towards the projected savings of $33,048 to $82,620, ensuring that any deviations are promptly addressed and corrective actions are taken.</w:t>
        <w:br/>
        <w:br/>
        <w:t>### Success Metrics</w:t>
        <w:br/>
        <w:br/>
        <w:t>Success should be measured using the ROI and payback metrics provided in the data section. The procurement team should aim for a payback period of 2.3 to 4.8 months, which indicates the time required to recover the implementation cost of $18,360. Additionally, achieving the 3-year net benefit range of $118,652 to $267,368 will be a key indicator of the initiative's success. These metrics will provide a clear picture of the financial impact of the procurement strategy and help guide future decision-making.</w:t>
        <w:br/>
        <w:br/>
        <w:t>By following these strategic recommendations, the organization can effectively manage supplier concentration risk, capitalize on regional cost advantages, and achieve significant cost savings and ROI.</w:t>
        <w:br/>
        <w:br/>
        <w:t>---</w:t>
        <w:br/>
        <w:t>Sources: spend_data.csv:Edible Oils, supplier_risk.txt, roi_calculations.txt</w:t>
      </w:r>
    </w:p>
    <w:p/>
    <w:p>
      <w:pPr>
        <w:pStyle w:val="Heading2"/>
      </w:pPr>
      <w:r>
        <w:rPr>
          <w:color w:val="003366"/>
        </w:rPr>
        <w:t>🤖 AI MARKET INTELLIGENCE</w:t>
      </w:r>
    </w:p>
    <w:p>
      <w:pPr>
        <w:spacing w:after="240"/>
      </w:pPr>
      <w:r>
        <w:t>The Canola Oil market continues to evolve with shifting global supply dynamics. Current sourcing</w:t>
        <w:br/>
        <w:t>is concentrated in Canada, India, Thailand, representing the primary supply corridor for this category.</w:t>
        <w:br/>
        <w:br/>
        <w:t>Regional analysis indicates opportunities for optimization. India, Thailand, Indonesia represent emerging</w:t>
        <w:br/>
        <w:t>sourcing alternatives with competitive cost structures. These regions offer potential savings</w:t>
        <w:br/>
        <w:t>of 8%-20%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Canola Oil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canola oil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