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CANOLA OIL DIVERSIFICATION</w:t>
      </w:r>
    </w:p>
    <w:p>
      <w:pPr>
        <w:jc w:val="center"/>
      </w:pPr>
      <w:r>
        <w:rPr>
          <w:i/>
          <w:sz w:val="22"/>
        </w:rPr>
        <w:t>Regional Concentration Analysis &amp; Diversification Strategy</w:t>
      </w:r>
    </w:p>
    <w:p>
      <w:pPr>
        <w:jc w:val="center"/>
      </w:pPr>
      <w:r>
        <w:rPr>
          <w:b/>
          <w:sz w:val="24"/>
        </w:rPr>
        <w:t>Total Category Spend 2026: USD 918,000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Canada</w:t>
            </w:r>
          </w:p>
        </w:tc>
        <w:tc>
          <w:tcPr>
            <w:tcW w:type="dxa" w:w="3360"/>
          </w:tcPr>
          <w:p>
            <w:r>
              <w:rPr>
                <w:sz w:val="20"/>
              </w:rPr>
              <w:t>100%</w:t>
            </w:r>
          </w:p>
        </w:tc>
        <w:tc>
          <w:tcPr>
            <w:tcW w:type="dxa" w:w="3360"/>
          </w:tcPr>
          <w:p>
            <w:r>
              <w:rPr>
                <w:sz w:val="20"/>
              </w:rPr>
              <w:t>$918,000</w:t>
            </w:r>
          </w:p>
        </w:tc>
      </w:tr>
      <w:tr>
        <w:tc>
          <w:tcPr>
            <w:tcW w:type="dxa" w:w="3360"/>
          </w:tcPr>
          <w:p>
            <w:r>
              <w:rPr>
                <w:sz w:val="20"/>
              </w:rPr>
              <w:t>Total High Concentration</w:t>
            </w:r>
          </w:p>
        </w:tc>
        <w:tc>
          <w:tcPr>
            <w:tcW w:type="dxa" w:w="3360"/>
          </w:tcPr>
          <w:p>
            <w:r>
              <w:rPr>
                <w:sz w:val="20"/>
              </w:rPr>
              <w:t>100%</w:t>
            </w:r>
          </w:p>
        </w:tc>
        <w:tc>
          <w:tcPr>
            <w:tcW w:type="dxa" w:w="3360"/>
          </w:tcPr>
          <w:p>
            <w:r>
              <w:rPr>
                <w:sz w:val="20"/>
              </w:rPr>
              <w:t>$918,000</w:t>
            </w:r>
          </w:p>
        </w:tc>
      </w:tr>
    </w:tbl>
    <w:p>
      <w:pPr>
        <w:spacing w:before="120"/>
      </w:pPr>
      <w:r>
        <w:t>Canada exceeds 40% of spend, creating regional concentration risk.</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Canada</w:t>
            </w:r>
          </w:p>
        </w:tc>
        <w:tc>
          <w:tcPr>
            <w:tcW w:type="dxa" w:w="2520"/>
          </w:tcPr>
          <w:p>
            <w:r>
              <w:rPr>
                <w:sz w:val="20"/>
              </w:rPr>
              <w:t>34%</w:t>
            </w:r>
          </w:p>
        </w:tc>
        <w:tc>
          <w:tcPr>
            <w:tcW w:type="dxa" w:w="2520"/>
          </w:tcPr>
          <w:p>
            <w:r>
              <w:rPr>
                <w:sz w:val="20"/>
              </w:rPr>
              <w:t>$312,120</w:t>
            </w:r>
          </w:p>
        </w:tc>
        <w:tc>
          <w:tcPr>
            <w:tcW w:type="dxa" w:w="2520"/>
          </w:tcPr>
          <w:p>
            <w:r>
              <w:rPr>
                <w:sz w:val="20"/>
              </w:rPr>
              <w:t>66% lower</w:t>
            </w:r>
          </w:p>
        </w:tc>
      </w:tr>
      <w:tr>
        <w:tc>
          <w:tcPr>
            <w:tcW w:type="dxa" w:w="2520"/>
          </w:tcPr>
          <w:p>
            <w:r>
              <w:rPr>
                <w:sz w:val="20"/>
              </w:rPr>
              <w:t>India</w:t>
            </w:r>
          </w:p>
        </w:tc>
        <w:tc>
          <w:tcPr>
            <w:tcW w:type="dxa" w:w="2520"/>
          </w:tcPr>
          <w:p>
            <w:r>
              <w:rPr>
                <w:sz w:val="20"/>
              </w:rPr>
              <w:t>22%</w:t>
            </w:r>
          </w:p>
        </w:tc>
        <w:tc>
          <w:tcPr>
            <w:tcW w:type="dxa" w:w="2520"/>
          </w:tcPr>
          <w:p>
            <w:r>
              <w:rPr>
                <w:sz w:val="20"/>
              </w:rPr>
              <w:t>$201,960</w:t>
            </w:r>
          </w:p>
        </w:tc>
        <w:tc>
          <w:tcPr>
            <w:tcW w:type="dxa" w:w="2520"/>
          </w:tcPr>
          <w:p>
            <w:r>
              <w:rPr>
                <w:sz w:val="20"/>
              </w:rPr>
              <w:t>New addition</w:t>
            </w:r>
          </w:p>
        </w:tc>
      </w:tr>
      <w:tr>
        <w:tc>
          <w:tcPr>
            <w:tcW w:type="dxa" w:w="2520"/>
          </w:tcPr>
          <w:p>
            <w:r>
              <w:rPr>
                <w:sz w:val="20"/>
              </w:rPr>
              <w:t>China</w:t>
            </w:r>
          </w:p>
        </w:tc>
        <w:tc>
          <w:tcPr>
            <w:tcW w:type="dxa" w:w="2520"/>
          </w:tcPr>
          <w:p>
            <w:r>
              <w:rPr>
                <w:sz w:val="20"/>
              </w:rPr>
              <w:t>22%</w:t>
            </w:r>
          </w:p>
        </w:tc>
        <w:tc>
          <w:tcPr>
            <w:tcW w:type="dxa" w:w="2520"/>
          </w:tcPr>
          <w:p>
            <w:r>
              <w:rPr>
                <w:sz w:val="20"/>
              </w:rPr>
              <w:t>$201,960</w:t>
            </w:r>
          </w:p>
        </w:tc>
        <w:tc>
          <w:tcPr>
            <w:tcW w:type="dxa" w:w="2520"/>
          </w:tcPr>
          <w:p>
            <w:r>
              <w:rPr>
                <w:sz w:val="20"/>
              </w:rPr>
              <w:t>New addition</w:t>
            </w:r>
          </w:p>
        </w:tc>
      </w:tr>
      <w:tr>
        <w:tc>
          <w:tcPr>
            <w:tcW w:type="dxa" w:w="2520"/>
          </w:tcPr>
          <w:p>
            <w:r>
              <w:rPr>
                <w:sz w:val="20"/>
              </w:rPr>
              <w:t>Mexico</w:t>
            </w:r>
          </w:p>
        </w:tc>
        <w:tc>
          <w:tcPr>
            <w:tcW w:type="dxa" w:w="2520"/>
          </w:tcPr>
          <w:p>
            <w:r>
              <w:rPr>
                <w:sz w:val="20"/>
              </w:rPr>
              <w:t>22%</w:t>
            </w:r>
          </w:p>
        </w:tc>
        <w:tc>
          <w:tcPr>
            <w:tcW w:type="dxa" w:w="2520"/>
          </w:tcPr>
          <w:p>
            <w:r>
              <w:rPr>
                <w:sz w:val="20"/>
              </w:rPr>
              <w:t>$201,960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$918,000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Canada</w:t>
            </w:r>
          </w:p>
        </w:tc>
        <w:tc>
          <w:tcPr>
            <w:tcW w:type="dxa" w:w="5040"/>
          </w:tcPr>
          <w:p>
            <w:r>
              <w:rPr>
                <w:sz w:val="20"/>
              </w:rPr>
              <w:t>100% → 34% = 66.0%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65–75%</w:t>
            </w:r>
          </w:p>
        </w:tc>
        <w:tc>
          <w:tcPr>
            <w:tcW w:type="dxa" w:w="2520"/>
          </w:tcPr>
          <w:p>
            <w:r>
              <w:rPr>
                <w:sz w:val="20"/>
              </w:rPr>
              <w:t>25–35%</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India</w:t>
            </w:r>
          </w:p>
        </w:tc>
        <w:tc>
          <w:tcPr>
            <w:tcW w:type="dxa" w:w="3360"/>
          </w:tcPr>
          <w:p>
            <w:r>
              <w:rPr>
                <w:sz w:val="20"/>
              </w:rPr>
              <w:t>Lower raw material input costs + scaling extraction infrastructure</w:t>
            </w:r>
          </w:p>
        </w:tc>
        <w:tc>
          <w:tcPr>
            <w:tcW w:type="dxa" w:w="3360"/>
          </w:tcPr>
          <w:p>
            <w:r>
              <w:rPr>
                <w:sz w:val="20"/>
              </w:rPr>
              <w:t>$11,016 – $27,540</w:t>
            </w:r>
          </w:p>
        </w:tc>
      </w:tr>
      <w:tr>
        <w:tc>
          <w:tcPr>
            <w:tcW w:type="dxa" w:w="3360"/>
          </w:tcPr>
          <w:p>
            <w:r>
              <w:rPr>
                <w:sz w:val="20"/>
              </w:rPr>
              <w:t>China</w:t>
            </w:r>
          </w:p>
        </w:tc>
        <w:tc>
          <w:tcPr>
            <w:tcW w:type="dxa" w:w="3360"/>
          </w:tcPr>
          <w:p>
            <w:r>
              <w:rPr>
                <w:sz w:val="20"/>
              </w:rPr>
              <w:t>Industrial scale processing + pricing leverage</w:t>
            </w:r>
          </w:p>
        </w:tc>
        <w:tc>
          <w:tcPr>
            <w:tcW w:type="dxa" w:w="3360"/>
          </w:tcPr>
          <w:p>
            <w:r>
              <w:rPr>
                <w:sz w:val="20"/>
              </w:rPr>
              <w:t>$11,016 – $27,540</w:t>
            </w:r>
          </w:p>
        </w:tc>
      </w:tr>
      <w:tr>
        <w:tc>
          <w:tcPr>
            <w:tcW w:type="dxa" w:w="3360"/>
          </w:tcPr>
          <w:p>
            <w:r>
              <w:rPr>
                <w:sz w:val="20"/>
              </w:rPr>
              <w:t>Mexico</w:t>
            </w:r>
          </w:p>
        </w:tc>
        <w:tc>
          <w:tcPr>
            <w:tcW w:type="dxa" w:w="3360"/>
          </w:tcPr>
          <w:p>
            <w:r>
              <w:rPr>
                <w:sz w:val="20"/>
              </w:rPr>
              <w:t>Diversification benefits + competitive pricing in Mexico</w:t>
            </w:r>
          </w:p>
        </w:tc>
        <w:tc>
          <w:tcPr>
            <w:tcW w:type="dxa" w:w="3360"/>
          </w:tcPr>
          <w:p>
            <w:r>
              <w:rPr>
                <w:sz w:val="20"/>
              </w:rPr>
              <w:t>$11,016 – $27,540</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$33,048 – $82,620</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$33,048 – $82,620</w:t>
            </w:r>
          </w:p>
        </w:tc>
      </w:tr>
      <w:tr>
        <w:tc>
          <w:tcPr>
            <w:tcW w:type="dxa" w:w="5040"/>
          </w:tcPr>
          <w:p>
            <w:r>
              <w:rPr>
                <w:sz w:val="20"/>
              </w:rPr>
              <w:t>Risk Reduction Value</w:t>
            </w:r>
          </w:p>
        </w:tc>
        <w:tc>
          <w:tcPr>
            <w:tcW w:type="dxa" w:w="5040"/>
          </w:tcPr>
          <w:p>
            <w:r>
              <w:rPr>
                <w:sz w:val="20"/>
              </w:rPr>
              <w:t>$13,770</w:t>
            </w:r>
          </w:p>
        </w:tc>
      </w:tr>
      <w:tr>
        <w:tc>
          <w:tcPr>
            <w:tcW w:type="dxa" w:w="5040"/>
          </w:tcPr>
          <w:p>
            <w:r>
              <w:rPr>
                <w:sz w:val="20"/>
              </w:rPr>
              <w:t>ROI (First Year)</w:t>
            </w:r>
          </w:p>
        </w:tc>
        <w:tc>
          <w:tcPr>
            <w:tcW w:type="dxa" w:w="5040"/>
          </w:tcPr>
          <w:p>
            <w:r>
              <w:rPr>
                <w:sz w:val="20"/>
              </w:rPr>
              <w:t>155% – 425%</w:t>
            </w:r>
          </w:p>
        </w:tc>
      </w:tr>
      <w:tr>
        <w:tc>
          <w:tcPr>
            <w:tcW w:type="dxa" w:w="5040"/>
          </w:tcPr>
          <w:p>
            <w:r>
              <w:rPr>
                <w:sz w:val="20"/>
              </w:rPr>
              <w:t>3-Year Net Benefit</w:t>
            </w:r>
          </w:p>
        </w:tc>
        <w:tc>
          <w:tcPr>
            <w:tcW w:type="dxa" w:w="5040"/>
          </w:tcPr>
          <w:p>
            <w:r>
              <w:rPr>
                <w:sz w:val="20"/>
              </w:rPr>
              <w:t>$122,094 – $270,810</w:t>
            </w:r>
          </w:p>
        </w:tc>
      </w:tr>
    </w:tbl>
    <w:p/>
    <w:p>
      <w:pPr>
        <w:pStyle w:val="Heading2"/>
      </w:pPr>
      <w:r>
        <w:rPr>
          <w:color w:val="003366"/>
        </w:rPr>
        <w:t>STRATEGIC OUTCOME</w:t>
      </w:r>
    </w:p>
    <w:p>
      <w:pPr>
        <w:pStyle w:val="ListBullet"/>
      </w:pPr>
      <w:r>
        <w:t>Reduce Canada reliance by 66%</w:t>
      </w:r>
    </w:p>
    <w:p>
      <w:pPr>
        <w:pStyle w:val="ListBullet"/>
      </w:pPr>
      <w:r>
        <w:t>Add 3 new supply ecosystems to offset concentration</w:t>
      </w:r>
    </w:p>
    <w:p>
      <w:pPr>
        <w:pStyle w:val="ListBullet"/>
      </w:pPr>
      <w:r>
        <w:t>Increase supplier pricing competition across regions</w:t>
      </w:r>
    </w:p>
    <w:p>
      <w:pPr>
        <w:pStyle w:val="ListBullet"/>
      </w:pPr>
      <w:r>
        <w:t>Improve logistics routing resilience</w:t>
      </w:r>
    </w:p>
    <w:p>
      <w:pPr>
        <w:pStyle w:val="ListBullet"/>
      </w:pPr>
      <w:r>
        <w:t>Reduce corridor risk by ~25% with blended cost advantage</w:t>
      </w:r>
    </w:p>
    <w:p/>
    <w:p>
      <w:pPr>
        <w:pStyle w:val="Heading2"/>
      </w:pPr>
      <w:r>
        <w:rPr>
          <w:color w:val="003366"/>
        </w:rPr>
        <w:t>WHY THIS MATTERS</w:t>
      </w:r>
    </w:p>
    <w:p>
      <w:r>
        <w:t xml:space="preserve">This analysis reveals a critical supplier concentration issue in Canola Oil. With 100%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$33,048 to $82,620 in annual cost savings, representing a 155%-425% ROI on the estimated $18,360 implementation investment.</w:t>
        <w:br/>
        <w:br/>
        <w:t>2. RISK MITIGATION: Current risk level is rated CRITICAL. Reducing concentration by 25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(HIGH): At 69% concentration, the dominant supplier has excessive market power. This limits negotiating leverage and creates dependency.</w:t>
        <w:br/>
        <w:br/>
        <w:t>• GEOGRAPHIC RISK (HIGH): 100% of spend is concentrated in Canada. This exposes the supply chain to regional disruptions including: natural disasters, political instability, trade policy changes, and logistics bottlenecks.</w:t>
        <w:br/>
        <w:br/>
        <w:t>• DIVERSITY RISK (CRITICAL): Only 2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Canola Oil based on: </w:t>
        <w:br/>
        <w:t xml:space="preserve">   • India: Lower raw material input costs + scaling extraction infrastructure</w:t>
        <w:br/>
        <w:t xml:space="preserve">   • China: Industrial scale processing + pricing leverage</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strategy for Canola Oil reveals a critical business issue: a complete regional concentration of spend in Canada, totaling $918,000 annually. This concentration poses a significant risk to the supply chain, as 100% of the procurement budget is allocated to a single region. Such an approach not only exposes the company to potential regional disruptions but also limits the ability to leverage competitive pricing and supplier diversification benefits. The financial magnitude of this concentration risk is underscored by the fact that all procurement dollars are tied to one geographic area, leaving the company vulnerable to any adverse changes in the Canadian market.</w:t>
        <w:br/>
        <w:br/>
        <w:t>This high concentration is problematic because it contravenes best practices in supplier risk management, which advocate for geographic diversification to mitigate exposure to regional disruptions [SOURCE-2]. By maintaining a single-source strategy, the company is at risk of supply chain interruptions due to factors like political instability, natural disasters, or economic fluctuations in Canada. Moreover, the lack of diversification limits the company's ability to negotiate better terms and conditions with suppliers, potentially leading to higher costs and reduced supply chain resilience.</w:t>
        <w:br/>
        <w:br/>
        <w:t>To address this issue, a diversification strategy is recommended. This strategy involves reallocating a portion of the Canola Oil spend to suppliers in other regions, thereby reducing the dependency on Canada. By engaging with multiple suppliers across different geographic areas, the company can enhance its supply chain resilience and potentially achieve cost savings. The projected annual savings from such a strategic sourcing initiative range from $33,048 to $82,620, with an impressive projected ROI of 155% to 425% [SOURCE-5]. This indicates that the benefits of diversification far outweigh the initial implementation costs, which typically include supplier qualification and transition expenses.</w:t>
        <w:br/>
        <w:br/>
        <w:t>In conclusion, the strategic benefits of implementing a diversification strategy are substantial. Not only does it mitigate the critical concentration risk currently faced, but it also positions the company to achieve significant cost savings and a high return on investment. By reducing reliance on a single region, the company can enhance its supply chain robustness, ensuring a more stable and cost-effective procurement process in the long term.</w:t>
        <w:br/>
        <w:br/>
        <w:t>---</w:t>
        <w:br/>
        <w:t>Sources: spend_data.csv:Edible Oils, supplier_risk.txt, supplier_master.csv</w:t>
      </w:r>
    </w:p>
    <w:p/>
    <w:p>
      <w:pPr>
        <w:pStyle w:val="Heading2"/>
      </w:pPr>
      <w:r>
        <w:rPr>
          <w:color w:val="003366"/>
        </w:rPr>
        <w:t>🤖 AI-POWERED RISK ANALYSIS</w:t>
      </w:r>
    </w:p>
    <w:p>
      <w:pPr>
        <w:spacing w:after="240"/>
      </w:pPr>
      <w:r>
        <w:t>## DETAILED RISK ANALYSIS</w:t>
        <w:br/>
        <w:br/>
        <w:t>### Current Risk Exposure</w:t>
        <w:br/>
        <w:br/>
        <w:t>The current risk exposure for the Canola Oil category is critically high, as indicated by an overall risk score of 3.7 out of 4.0, categorizing it as CRITICAL. This high risk is primarily driven by two factors: supply chain risk and geographic risk, both of which are rated as CRITICAL. The total spend at risk amounts to $918,000, which underscores the significant financial exposure the company faces if these risks are not mitigated. The supplier diversity risk is also rated as HIGH, reflecting a lack of sufficient diversification in the supplier base, which could lead to vulnerabilities in supply continuity and pricing power.</w:t>
        <w:br/>
        <w:br/>
        <w:t>### Rule Violation Analysis</w:t>
        <w:br/>
        <w:br/>
        <w:t>Several key rule violations exacerbate the risk profile. Notably, there is a violation of the regional concentration rule, with 100.0% of the spend concentrated in the Americas, exceeding the 40.0% limit by a substantial 60.0%. This concentration poses a significant geographic risk, as it leaves the supply chain vulnerable to regional disruptions. Additionally, there is a single supplier dependency violation, with Richardson Oilseed accounting for 69.4% of the spend, surpassing the 60.0% threshold by 9.4%. This dependency increases the risk of supply disruption if the supplier encounters issues. Other violations include the minimum order quantity and diverse supplier spend, which indicate inefficiencies and a lack of supplier diversification, respectively.</w:t>
        <w:br/>
        <w:br/>
        <w:t>### Risk Interdependencies</w:t>
        <w:br/>
        <w:br/>
        <w:t>The calculated risks are interdependent, compounding the overall risk exposure. The geographic concentration in the Americas not only heightens the geographic risk but also amplifies the supply chain risk by limiting the company's ability to pivot to alternative regions in the event of a disruption. The high dependency on a single supplier further exacerbates this issue, as any disruption at Richardson Oilseed could have immediate and severe impacts on supply continuity. The lack of diverse supplier spend and innovation supplier ratio violations indicate a failure to engage with a broader supplier base, which could otherwise provide resilience against such risks.</w:t>
        <w:br/>
        <w:br/>
        <w:t>### Mitigation Urgency</w:t>
        <w:br/>
        <w:br/>
        <w:t>Given the critical risk levels identified, immediate action is necessary to mitigate these risks. The high concentration of spend in a single region and dependency on a single supplier are particularly pressing issues that require urgent attention. Diversifying the supplier base and redistributing spend across multiple regions can significantly reduce the geographic and supply chain risks. Implementing dual sourcing strategies, as recommended in the risk management frameworks [SOURCE-1], can provide a balance between cost efficiency and risk mitigation. Addressing these violations is crucial to enhancing supply chain resilience and ensuring compliance with established risk thresholds.</w:t>
        <w:br/>
        <w:br/>
        <w:t>---</w:t>
        <w:br/>
        <w:t>Sources: supplier_risk.txt, risk_assessment.txt, spend_data.csv:Edible Oils</w:t>
      </w:r>
    </w:p>
    <w:p/>
    <w:p>
      <w:pPr>
        <w:pStyle w:val="Heading2"/>
      </w:pPr>
      <w:r>
        <w:rPr>
          <w:color w:val="003366"/>
        </w:rPr>
        <w:t>🤖 AI-GENERATED STRATEGIC RECOMMENDATIONS</w:t>
      </w:r>
    </w:p>
    <w:p>
      <w:pPr>
        <w:spacing w:after="240"/>
      </w:pPr>
      <w:r>
        <w:t>## STRATEGIC RECOMMENDATIONS</w:t>
        <w:br/>
        <w:br/>
        <w:t>### Immediate Actions</w:t>
        <w:br/>
        <w:br/>
        <w:t>Procurement should initially focus on supplier qualification, as outlined in the implementation phases. This involves identifying and evaluating potential suppliers within the first four weeks to ensure they meet the company's standards for quality, reliability, and cost-effectiveness. This step is crucial to mitigate supplier concentration risks, as highlighted in [SOURCE-2], which emphasizes the importance of maintaining a diversified supplier base to reduce exposure to regional disruptions.</w:t>
        <w:br/>
        <w:br/>
        <w:t>### Short-Term Wins</w:t>
        <w:br/>
        <w:br/>
        <w:t>To achieve quick wins, procurement can leverage the cost advantages identified in the DATA SECTION. By sourcing from regions such as India, China, and Mexico, the company can realize immediate savings of $11,016 to $27,540 per region. These savings are attributed to lower raw material costs, industrial scale processing, and competitive pricing. Implementing these strategies can provide a substantial reduction in procurement costs, contributing to the projected savings of $33,048 to $82,620.</w:t>
        <w:br/>
        <w:br/>
        <w:t>### Strategic Initiatives</w:t>
        <w:br/>
        <w:br/>
        <w:t>Following the initial supplier qualification, procurement should proceed with the strategic initiatives outlined in the implementation phases. This includes entering into pilot contracts during weeks 5 to 12, followed by a performance review in week 13. The scale-up phase, from weeks 14 to 26, will allow the company to fully integrate the new suppliers into its supply chain, maximizing the benefits of diversification and cost savings. This phased approach aligns with best practices for managing supplier concentration risks, as noted in [SOURCE-2].</w:t>
        <w:br/>
        <w:br/>
        <w:t>### Governance &amp; Monitoring</w:t>
        <w:br/>
        <w:br/>
        <w:t>To ensure the projected savings are realized, it is essential to establish robust governance and monitoring mechanisms. This includes setting up key performance indicators (KPIs) to track supplier performance and cost savings throughout the implementation phases. Regular performance reviews and audits will help ensure that the suppliers meet the agreed-upon terms and that the anticipated savings are achieved.</w:t>
        <w:br/>
        <w:br/>
        <w:t>### Success Metrics</w:t>
        <w:br/>
        <w:br/>
        <w:t>The success of these initiatives can be measured using the ROI and payback metrics provided in the DATA SECTION. With a projected payback period of 2.3 to 4.7 months, the company can expect a rapid return on its investment. Over a three-year period, the net benefit is estimated to range from $122,094 to $270,810, demonstrating the long-term financial advantages of strategic sourcing and supplier diversification. By adhering to these metrics, procurement can effectively assess the impact of its strategies and make data-driven decisions for future initiatives.</w:t>
        <w:br/>
        <w:br/>
        <w:t>---</w:t>
        <w:br/>
        <w:t>Sources: spend_data.csv:Edible Oils, supplier_risk.txt, roi_calculations.txt</w:t>
      </w:r>
    </w:p>
    <w:p/>
    <w:p>
      <w:pPr>
        <w:pStyle w:val="Heading2"/>
      </w:pPr>
      <w:r>
        <w:rPr>
          <w:color w:val="003366"/>
        </w:rPr>
        <w:t>🤖 AI MARKET INTELLIGENCE</w:t>
      </w:r>
    </w:p>
    <w:p>
      <w:pPr>
        <w:spacing w:after="240"/>
      </w:pPr>
      <w:r>
        <w:t>The Canola Oil market continues to evolve with shifting global supply dynamics. Current sourcing</w:t>
        <w:br/>
        <w:t>is concentrated in Canada, India, China, representing the primary supply corridor for this category.</w:t>
        <w:br/>
        <w:br/>
        <w:t>Regional analysis indicates opportunities for optimization. India, Thailand, Indonesia represent emerging</w:t>
        <w:br/>
        <w:t>sourcing alternatives with competitive cost structures. These regions offer potential savings</w:t>
        <w:br/>
        <w:t>of 8%-20%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Canola Oil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India, China, Mexico</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