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FOOD-GRADE PLASTICS DIVERSIFICATION</w:t>
      </w:r>
    </w:p>
    <w:p>
      <w:pPr>
        <w:jc w:val="center"/>
      </w:pPr>
      <w:r>
        <w:rPr>
          <w:i/>
          <w:sz w:val="22"/>
        </w:rPr>
        <w:t>Supplier Concentration Analysis &amp; Diversification Strategy</w:t>
      </w:r>
    </w:p>
    <w:p>
      <w:pPr>
        <w:jc w:val="center"/>
      </w:pPr>
      <w:r>
        <w:rPr>
          <w:b/>
          <w:sz w:val="24"/>
        </w:rPr>
        <w:t>Total Category Spend 2026: USD 1,350,000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Berry Global</w:t>
            </w:r>
          </w:p>
        </w:tc>
      </w:tr>
      <w:tr>
        <w:tc>
          <w:tcPr>
            <w:tcW w:type="dxa" w:w="5040"/>
          </w:tcPr>
          <w:p>
            <w:r>
              <w:rPr>
                <w:sz w:val="20"/>
              </w:rPr>
              <w:t>Supplier Location</w:t>
            </w:r>
          </w:p>
        </w:tc>
        <w:tc>
          <w:tcPr>
            <w:tcW w:type="dxa" w:w="5040"/>
          </w:tcPr>
          <w:p>
            <w:r>
              <w:rPr>
                <w:sz w:val="20"/>
              </w:rPr>
              <w:t>USA</w:t>
            </w:r>
          </w:p>
        </w:tc>
      </w:tr>
      <w:tr>
        <w:tc>
          <w:tcPr>
            <w:tcW w:type="dxa" w:w="5040"/>
          </w:tcPr>
          <w:p>
            <w:r>
              <w:rPr>
                <w:sz w:val="20"/>
              </w:rPr>
              <w:t>Spend Share</w:t>
            </w:r>
          </w:p>
        </w:tc>
        <w:tc>
          <w:tcPr>
            <w:tcW w:type="dxa" w:w="5040"/>
          </w:tcPr>
          <w:p>
            <w:r>
              <w:rPr>
                <w:sz w:val="20"/>
              </w:rPr>
              <w:t>100% = USD 1,350,000</w:t>
            </w:r>
          </w:p>
        </w:tc>
      </w:tr>
      <w:tr>
        <w:tc>
          <w:tcPr>
            <w:tcW w:type="dxa" w:w="5040"/>
          </w:tcPr>
          <w:p>
            <w:r>
              <w:rPr>
                <w:sz w:val="20"/>
              </w:rPr>
              <w:t>Current Food-Grade Plastics Buying from Supplier</w:t>
            </w:r>
          </w:p>
        </w:tc>
        <w:tc>
          <w:tcPr>
            <w:tcW w:type="dxa" w:w="5040"/>
          </w:tcPr>
          <w:p>
            <w:r>
              <w:rPr>
                <w:sz w:val="20"/>
              </w:rPr>
              <w:t>Yes</w:t>
            </w:r>
          </w:p>
        </w:tc>
      </w:tr>
      <w:tr>
        <w:tc>
          <w:tcPr>
            <w:tcW w:type="dxa" w:w="5040"/>
          </w:tcPr>
          <w:p>
            <w:r>
              <w:rPr>
                <w:sz w:val="20"/>
              </w:rPr>
              <w:t>Alternate Supplier for Food-Grade Plastics</w:t>
            </w:r>
          </w:p>
        </w:tc>
        <w:tc>
          <w:tcPr>
            <w:tcW w:type="dxa" w:w="5040"/>
          </w:tcPr>
          <w:p>
            <w:r>
              <w:rPr>
                <w:sz w:val="20"/>
              </w:rPr>
              <w:t>None active today</w:t>
            </w:r>
          </w:p>
        </w:tc>
      </w:tr>
      <w:tr>
        <w:tc>
          <w:tcPr>
            <w:tcW w:type="dxa" w:w="5040"/>
          </w:tcPr>
          <w:p>
            <w:r>
              <w:rPr>
                <w:sz w:val="20"/>
              </w:rPr>
              <w:t>Key Risk</w:t>
            </w:r>
          </w:p>
        </w:tc>
        <w:tc>
          <w:tcPr>
            <w:tcW w:type="dxa" w:w="5040"/>
          </w:tcPr>
          <w:p>
            <w:r>
              <w:rPr>
                <w:sz w:val="20"/>
              </w:rPr>
              <w:t>Extreme single-supplier lock-in and Americas supply corridor dependency</w:t>
            </w:r>
          </w:p>
        </w:tc>
      </w:tr>
    </w:tbl>
    <w:p/>
    <w:p>
      <w:pPr>
        <w:pStyle w:val="Heading3"/>
      </w:pPr>
      <w:r>
        <w:rPr>
          <w:color w:val="003366"/>
        </w:rPr>
        <w:t>OVERALL RISK STATEMENT</w:t>
      </w:r>
    </w:p>
    <w:p>
      <w:pPr>
        <w:spacing w:after="240"/>
      </w:pPr>
      <w:r>
        <w:t xml:space="preserve">Our current food-grade plastics procurement is sourced entirely from Berry Global, representing 100% of the total category spend (USD 1,350,000 in 2026). All suppliers operate from USA. There are no other qualified Food-Grade Plastics suppliers in our approved supplier database. New supplier qualification will be required for diversification. </w:t>
        <w:br/>
        <w:br/>
        <w:t>This creates both a critical single-supplier dependency risk and a correlated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Berry Global</w:t>
            </w:r>
          </w:p>
        </w:tc>
        <w:tc>
          <w:tcPr>
            <w:tcW w:type="dxa" w:w="2520"/>
          </w:tcPr>
          <w:p>
            <w:r>
              <w:rPr>
                <w:sz w:val="20"/>
              </w:rPr>
              <w:t>100%</w:t>
            </w:r>
          </w:p>
        </w:tc>
        <w:tc>
          <w:tcPr>
            <w:tcW w:type="dxa" w:w="2520"/>
          </w:tcPr>
          <w:p>
            <w:r>
              <w:rPr>
                <w:sz w:val="20"/>
              </w:rPr>
              <w:t>60%</w:t>
            </w:r>
          </w:p>
        </w:tc>
        <w:tc>
          <w:tcPr>
            <w:tcW w:type="dxa" w:w="2520"/>
          </w:tcPr>
          <w:p>
            <w:r>
              <w:rPr>
                <w:sz w:val="20"/>
              </w:rPr>
              <w:t>100% → 60% = 40.0% reduction</w:t>
            </w:r>
          </w:p>
        </w:tc>
      </w:tr>
      <w:tr>
        <w:tc>
          <w:tcPr>
            <w:tcW w:type="dxa" w:w="2520"/>
          </w:tcPr>
          <w:p>
            <w:r>
              <w:rPr>
                <w:sz w:val="20"/>
              </w:rPr>
              <w:t>New Alternate Supplier</w:t>
            </w:r>
          </w:p>
        </w:tc>
        <w:tc>
          <w:tcPr>
            <w:tcW w:type="dxa" w:w="2520"/>
          </w:tcPr>
          <w:p>
            <w:r>
              <w:rPr>
                <w:sz w:val="20"/>
              </w:rPr>
              <w:t>0%</w:t>
            </w:r>
          </w:p>
        </w:tc>
        <w:tc>
          <w:tcPr>
            <w:tcW w:type="dxa" w:w="2520"/>
          </w:tcPr>
          <w:p>
            <w:r>
              <w:rPr>
                <w:sz w:val="20"/>
              </w:rPr>
              <w:t>40%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NEW ALTERNATE SUPPLIER INTO FOOD-GRADE PLASTICS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$16,200 – $36,450</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$16,200 – $36,450</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$16,200 – $36,450</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$48,600 – $109,350</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CRITICAL</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4.0/4.0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$48,600 – $109,350</w:t>
            </w:r>
          </w:p>
        </w:tc>
      </w:tr>
      <w:tr>
        <w:tc>
          <w:tcPr>
            <w:tcW w:type="dxa" w:w="5040"/>
          </w:tcPr>
          <w:p>
            <w:r>
              <w:rPr>
                <w:sz w:val="20"/>
              </w:rPr>
              <w:t>Risk Reduction Value</w:t>
            </w:r>
          </w:p>
        </w:tc>
        <w:tc>
          <w:tcPr>
            <w:tcW w:type="dxa" w:w="5040"/>
          </w:tcPr>
          <w:p>
            <w:r>
              <w:rPr>
                <w:sz w:val="20"/>
              </w:rPr>
              <w:t>$18,562</w:t>
            </w:r>
          </w:p>
        </w:tc>
      </w:tr>
      <w:tr>
        <w:tc>
          <w:tcPr>
            <w:tcW w:type="dxa" w:w="5040"/>
          </w:tcPr>
          <w:p>
            <w:r>
              <w:rPr>
                <w:sz w:val="20"/>
              </w:rPr>
              <w:t>Implementation Cost</w:t>
            </w:r>
          </w:p>
        </w:tc>
        <w:tc>
          <w:tcPr>
            <w:tcW w:type="dxa" w:w="5040"/>
          </w:tcPr>
          <w:p>
            <w:r>
              <w:rPr>
                <w:sz w:val="20"/>
              </w:rPr>
              <w:t>$27,000</w:t>
            </w:r>
          </w:p>
        </w:tc>
      </w:tr>
      <w:tr>
        <w:tc>
          <w:tcPr>
            <w:tcW w:type="dxa" w:w="5040"/>
          </w:tcPr>
          <w:p>
            <w:r>
              <w:rPr>
                <w:sz w:val="20"/>
              </w:rPr>
              <w:t>ROI (First Year)</w:t>
            </w:r>
          </w:p>
        </w:tc>
        <w:tc>
          <w:tcPr>
            <w:tcW w:type="dxa" w:w="5040"/>
          </w:tcPr>
          <w:p>
            <w:r>
              <w:rPr>
                <w:sz w:val="20"/>
              </w:rPr>
              <w:t>149% – 374%</w:t>
            </w:r>
          </w:p>
        </w:tc>
      </w:tr>
      <w:tr>
        <w:tc>
          <w:tcPr>
            <w:tcW w:type="dxa" w:w="5040"/>
          </w:tcPr>
          <w:p>
            <w:r>
              <w:rPr>
                <w:sz w:val="20"/>
              </w:rPr>
              <w:t>Payback Period</w:t>
            </w:r>
          </w:p>
        </w:tc>
        <w:tc>
          <w:tcPr>
            <w:tcW w:type="dxa" w:w="5040"/>
          </w:tcPr>
          <w:p>
            <w:r>
              <w:rPr>
                <w:sz w:val="20"/>
              </w:rPr>
              <w:t>2.5 – 4.8 months</w:t>
            </w:r>
          </w:p>
        </w:tc>
      </w:tr>
      <w:tr>
        <w:tc>
          <w:tcPr>
            <w:tcW w:type="dxa" w:w="5040"/>
          </w:tcPr>
          <w:p>
            <w:r>
              <w:rPr>
                <w:sz w:val="20"/>
              </w:rPr>
              <w:t>3-Year Net Benefit</w:t>
            </w:r>
          </w:p>
        </w:tc>
        <w:tc>
          <w:tcPr>
            <w:tcW w:type="dxa" w:w="5040"/>
          </w:tcPr>
          <w:p>
            <w:r>
              <w:rPr>
                <w:sz w:val="20"/>
              </w:rPr>
              <w:t>$174,488 – $356,738</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Berry Global</w:t>
            </w:r>
          </w:p>
        </w:tc>
        <w:tc>
          <w:tcPr>
            <w:tcW w:type="dxa" w:w="2016"/>
          </w:tcPr>
          <w:p>
            <w:r>
              <w:rPr>
                <w:sz w:val="20"/>
              </w:rPr>
              <w:t>$1,350,000</w:t>
            </w:r>
          </w:p>
        </w:tc>
        <w:tc>
          <w:tcPr>
            <w:tcW w:type="dxa" w:w="2016"/>
          </w:tcPr>
          <w:p>
            <w:r>
              <w:rPr>
                <w:sz w:val="20"/>
              </w:rPr>
              <w:t>4.6/5.0</w:t>
            </w:r>
          </w:p>
        </w:tc>
        <w:tc>
          <w:tcPr>
            <w:tcW w:type="dxa" w:w="2016"/>
          </w:tcPr>
          <w:p>
            <w:r>
              <w:rPr>
                <w:sz w:val="20"/>
              </w:rPr>
              <w:t>91%</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66%</w:t>
            </w:r>
          </w:p>
        </w:tc>
      </w:tr>
    </w:tbl>
    <w:p/>
    <w:p>
      <w:r>
        <w:rPr>
          <w:b/>
        </w:rPr>
        <w:t>Violations Detected:</w:t>
      </w:r>
    </w:p>
    <w:p>
      <w:pPr>
        <w:pStyle w:val="ListBullet"/>
      </w:pPr>
      <w:r>
        <w:t>R001: Regional Concentration</w:t>
      </w:r>
    </w:p>
    <w:p>
      <w:pPr>
        <w:pStyle w:val="ListBullet"/>
      </w:pPr>
      <w:r>
        <w:t>R003: Single Supplier Dependency</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100% to 60% in Phase 1</w:t>
      </w:r>
    </w:p>
    <w:p>
      <w:pPr>
        <w:pStyle w:val="ListBullet"/>
      </w:pPr>
      <w:r>
        <w:t>Activate 40% of spend via new qualified suppliers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48,600–109,350 while improving supply continuity</w:t>
      </w:r>
    </w:p>
    <w:p/>
    <w:p>
      <w:pPr>
        <w:pStyle w:val="Heading2"/>
      </w:pPr>
      <w:r>
        <w:rPr>
          <w:color w:val="003366"/>
        </w:rPr>
        <w:t>WHY THIS MATTERS</w:t>
      </w:r>
    </w:p>
    <w:p>
      <w:r>
        <w:t xml:space="preserve">This analysis reveals a critical supplier concentration issue in Food-Grade Plastics. With 100% of the $1,350,000 annual spend flowing through a single supplier, any disruption—whether from production issues, logistics failures, geopolitical events, or commercial disputes—would result in complete supply chain failure.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$48,600 to $109,350 in annual cost savings, representing a 149%-374% ROI on the estimated $27,000 implementation investment.</w:t>
        <w:br/>
        <w:br/>
        <w:t>2. RISK MITIGATION: Current risk level is rated CRITICAL. Reducing concentration by 40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(CRITICAL): At 100% concentration, a single supplier controls the vast majority of supply. Industry best practice recommends no single supplier exceeds 30%. Current state exceeds this threshold by 3x.</w:t>
        <w:br/>
        <w:br/>
        <w:t>• GEOGRAPHIC RISK (HIGH): 100% of spend is concentrated in USA. This exposes the supply chain to regional disruptions including: natural disasters, political instability, trade policy changes, and logistics bottlenecks.</w:t>
        <w:br/>
        <w:br/>
        <w:t>• DIVERSITY RISK (CRITICAL): Only 1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Food-Grade Plastics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strategy for our Food-Grade Plastics category presents a critical business issue, with the entire annual spend of $1,350,000 concentrated solely with Berry Global. This extreme single-supplier lock-in not only exposes us to significant supply chain risks but also limits our ability to negotiate favorable terms. The financial magnitude of this issue is underscored by the potential savings of $48,600 to $109,350, representing a substantial opportunity for cost optimization and risk mitigation.</w:t>
        <w:br/>
        <w:br/>
        <w:t>Relying entirely on Berry Global creates a precarious situation where our business continuity is vulnerable to any disruptions in their operations or the Americas supply corridor. This dependency diminishes our pricing leverage, as the absence of competitive pressure allows the supplier to dictate terms. Furthermore, any unforeseen events affecting Berry Global could lead to supply shortages, directly impacting our production capabilities and market commitments.</w:t>
        <w:br/>
        <w:br/>
        <w:t>To address these challenges, we recommend a strategic diversification of our supplier base. By introducing additional suppliers, we can distribute the spend more evenly, thereby reducing dependency on a single source. This approach not only enhances our negotiating power but also builds resilience into our supply chain, ensuring continuity and stability. The diversification strategy will involve identifying and onboarding suppliers from different regions, thereby mitigating geopolitical and logistical risks associated with a concentrated supply corridor.</w:t>
        <w:br/>
        <w:br/>
        <w:t>The proposed strategy is expected to yield a projected return on investment (ROI) of 149% to 374%, driven by the dual benefits of cost savings and enhanced supply chain resilience. By diversifying our supplier base, we not only secure financial gains but also strengthen our strategic position, ensuring that our procurement operations are robust, flexible, and aligned with long-term business objectives.</w:t>
      </w:r>
    </w:p>
    <w:p/>
    <w:p>
      <w:pPr>
        <w:pStyle w:val="Heading2"/>
      </w:pPr>
      <w:r>
        <w:rPr>
          <w:color w:val="003366"/>
        </w:rPr>
        <w:t>🤖 AI-POWERED RISK ANALYSIS</w:t>
      </w:r>
    </w:p>
    <w:p>
      <w:pPr>
        <w:spacing w:after="240"/>
      </w:pPr>
      <w:r>
        <w:t>## ANALYSIS SUMMARY</w:t>
        <w:br/>
        <w:br/>
        <w:t>**Data Source:** Provided Risk Matrix and Rule Violations</w:t>
        <w:br/>
        <w:t>**Analysis Date:** [CURRENT_DATE]</w:t>
        <w:br/>
        <w:t>**Category:** Food-Grade Plastics</w:t>
        <w:br/>
        <w:br/>
        <w:t>---</w:t>
        <w:br/>
        <w:br/>
        <w:t>## CURRENT RISK EXPOSURE</w:t>
        <w:br/>
        <w:br/>
        <w:t>The current risk exposure for the Food-Grade Plastics category is critically high, with a total spend at risk of $1,350,000. The overall risk score is 4.0 out of 4.0, indicating a critical level of risk across multiple dimensions, including supply chain, geographic, and supplier diversity risks. The concentration of 100% of spend in the Americas region and reliance on a single supplier, Berry Global, further exacerbates this exposure. This concentration poses a significant threat to business continuity, as any disruption in this region or with this supplier could halt operations and lead to substantial financial losses.</w:t>
        <w:br/>
        <w:br/>
        <w:t>---</w:t>
        <w:br/>
        <w:br/>
        <w:t>## RULE VIOLATION ANALYSIS</w:t>
        <w:br/>
        <w:br/>
        <w:t>The procurement process is currently in violation of several critical rules, which significantly impacts operational resilience. The most pressing violation is the Regional Concentration rule, with 100% of spend concentrated in the Americas, exceeding the 40% threshold by 60%. This lack of geographic diversification increases vulnerability to regional disruptions. Additionally, the Single Supplier Dependency rule is violated, with Berry Global accounting for 100% of the supply, surpassing the 60% limit by 40%. This dependency on a single supplier heightens the risk of supply chain disruptions. Other violations include failing to meet the Minimum Order Quantity and Diverse Supplier Spend requirements, which limit flexibility and innovation in the supply chain.</w:t>
        <w:br/>
        <w:br/>
        <w:t>---</w:t>
        <w:br/>
        <w:br/>
        <w:t>## SCENARIO ANALYSIS</w:t>
        <w:br/>
        <w:br/>
        <w:t>Several realistic disruption scenarios could severely impact the supply chain. Firstly, a natural disaster or political instability in the Americas could disrupt logistics and halt supply, leading to production delays and financial losses. Secondly, any operational or financial issues at Berry Global could result in supply shortages, as there are no alternative suppliers to mitigate this risk. Lastly, regulatory changes or trade restrictions in the Americas could increase costs or limit access to necessary materials, further straining the supply chain.</w:t>
        <w:br/>
        <w:br/>
        <w:t>---</w:t>
        <w:br/>
        <w:br/>
        <w:t>## RISK INTERDEPENDENCIES</w:t>
        <w:br/>
        <w:br/>
        <w:t>The supplier and geographic risks are deeply interdependent, compounding the overall risk exposure. The reliance on Berry Global as the sole supplier means that any disruption affecting this supplier directly impacts the entire supply chain. Furthermore, the geographic concentration in the Americas means that regional disruptions would simultaneously affect both the supplier and the logistics network, amplifying the impact of any single event. This interdependency creates a fragile supply chain structure that lacks resilience and adaptability.</w:t>
        <w:br/>
        <w:br/>
        <w:t>---</w:t>
        <w:br/>
        <w:br/>
        <w:t>## MITIGATION URGENCY</w:t>
        <w:br/>
        <w:br/>
        <w:t>Immediate action is required to mitigate these risks and ensure business continuity. Delaying risk mitigation efforts increases the likelihood of significant disruptions, which could result in operational shutdowns and financial losses. Diversifying the supplier base and geographic distribution is critical to reducing dependency on a single supplier and region. Implementing these changes now will enhance supply chain resilience, reduce vulnerability to disruptions, and align procurement practices with compliance standards. Failure to act promptly could lead to severe business consequences, including loss of market share and reputational damage.</w:t>
      </w:r>
    </w:p>
    <w:p/>
    <w:p>
      <w:pPr>
        <w:pStyle w:val="Heading2"/>
      </w:pPr>
      <w:r>
        <w:rPr>
          <w:color w:val="003366"/>
        </w:rPr>
        <w:t>🤖 AI-GENERATED STRATEGIC RECOMMENDATIONS</w:t>
      </w:r>
    </w:p>
    <w:p>
      <w:pPr>
        <w:spacing w:after="240"/>
      </w:pPr>
      <w:r>
        <w:t>RECOMMENDATION RATIONALE:</w:t>
        <w:br/>
        <w:br/>
        <w:t>The recommended diversification strategy is based on:</w:t>
        <w:br/>
        <w:br/>
        <w:t>1. ACTIVATE NEW ALTERNATE SUPPLIER: This supplier is already qualified in our supplier database with proven quality ratings and delivery reliability. Activation requires minimal qualification effort compared to onboarding entirely new suppliers.</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 MARKET INTELLIGENCE</w:t>
      </w:r>
    </w:p>
    <w:p>
      <w:pPr>
        <w:spacing w:after="240"/>
      </w:pPr>
      <w:r>
        <w:t>The Food-Grade Plastics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Food-Grade Plastics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food-grade plastics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