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LEADERSHIP BRIEF – FOOD-GRADE PLASTICS DIVERSIFICATION</w:t>
      </w:r>
    </w:p>
    <w:p>
      <w:pPr>
        <w:jc w:val="center"/>
      </w:pPr>
      <w:r>
        <w:rPr>
          <w:i/>
          <w:sz w:val="22"/>
        </w:rPr>
        <w:t>Regional Concentration Analysis &amp; Diversification Strategy</w:t>
      </w:r>
    </w:p>
    <w:p>
      <w:pPr>
        <w:jc w:val="center"/>
      </w:pPr>
      <w:r>
        <w:rPr>
          <w:b/>
          <w:sz w:val="24"/>
        </w:rPr>
        <w:t>Total Category Spend 2026: USD 1,350,000</w:t>
      </w:r>
    </w:p>
    <w:p/>
    <w:p>
      <w:pPr>
        <w:pStyle w:val="Heading2"/>
      </w:pPr>
      <w:r>
        <w:rPr>
          <w:color w:val="003366"/>
        </w:rPr>
        <w:t>ORIGINAL SPEND CONCENTRATION (2026)</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Country</w:t>
            </w:r>
          </w:p>
        </w:tc>
        <w:tc>
          <w:tcPr>
            <w:tcW w:type="dxa" w:w="3360"/>
          </w:tcPr>
          <w:p>
            <w:r>
              <w:rPr>
                <w:b/>
                <w:sz w:val="20"/>
              </w:rPr>
              <w:t>% of Total Spend</w:t>
            </w:r>
          </w:p>
        </w:tc>
        <w:tc>
          <w:tcPr>
            <w:tcW w:type="dxa" w:w="3360"/>
          </w:tcPr>
          <w:p>
            <w:r>
              <w:rPr>
                <w:b/>
                <w:sz w:val="20"/>
              </w:rPr>
              <w:t>Cost (USD)</w:t>
            </w:r>
          </w:p>
        </w:tc>
      </w:tr>
      <w:tr>
        <w:tc>
          <w:tcPr>
            <w:tcW w:type="dxa" w:w="3360"/>
          </w:tcPr>
          <w:p>
            <w:r>
              <w:rPr>
                <w:sz w:val="20"/>
              </w:rPr>
              <w:t>USA</w:t>
            </w:r>
          </w:p>
        </w:tc>
        <w:tc>
          <w:tcPr>
            <w:tcW w:type="dxa" w:w="3360"/>
          </w:tcPr>
          <w:p>
            <w:r>
              <w:rPr>
                <w:sz w:val="20"/>
              </w:rPr>
              <w:t>100%</w:t>
            </w:r>
          </w:p>
        </w:tc>
        <w:tc>
          <w:tcPr>
            <w:tcW w:type="dxa" w:w="3360"/>
          </w:tcPr>
          <w:p>
            <w:r>
              <w:rPr>
                <w:sz w:val="20"/>
              </w:rPr>
              <w:t>$1,350,000</w:t>
            </w:r>
          </w:p>
        </w:tc>
      </w:tr>
      <w:tr>
        <w:tc>
          <w:tcPr>
            <w:tcW w:type="dxa" w:w="3360"/>
          </w:tcPr>
          <w:p>
            <w:r>
              <w:rPr>
                <w:sz w:val="20"/>
              </w:rPr>
              <w:t>Total High Concentration</w:t>
            </w:r>
          </w:p>
        </w:tc>
        <w:tc>
          <w:tcPr>
            <w:tcW w:type="dxa" w:w="3360"/>
          </w:tcPr>
          <w:p>
            <w:r>
              <w:rPr>
                <w:sz w:val="20"/>
              </w:rPr>
              <w:t>100%</w:t>
            </w:r>
          </w:p>
        </w:tc>
        <w:tc>
          <w:tcPr>
            <w:tcW w:type="dxa" w:w="3360"/>
          </w:tcPr>
          <w:p>
            <w:r>
              <w:rPr>
                <w:sz w:val="20"/>
              </w:rPr>
              <w:t>$1,350,000</w:t>
            </w:r>
          </w:p>
        </w:tc>
      </w:tr>
    </w:tbl>
    <w:p>
      <w:pPr>
        <w:spacing w:before="120"/>
      </w:pPr>
      <w:r>
        <w:t>USA exceeds 40% of spend, creating regional concentration risk.</w:t>
      </w:r>
    </w:p>
    <w:p/>
    <w:p>
      <w:pPr>
        <w:pStyle w:val="Heading2"/>
      </w:pPr>
      <w:r>
        <w:rPr>
          <w:color w:val="003366"/>
        </w:rPr>
        <w:t>DIVERSIFIED TARGET STATE (NEW SPLIT)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Country / Region</w:t>
            </w:r>
          </w:p>
        </w:tc>
        <w:tc>
          <w:tcPr>
            <w:tcW w:type="dxa" w:w="2520"/>
          </w:tcPr>
          <w:p>
            <w:r>
              <w:rPr>
                <w:b/>
                <w:sz w:val="20"/>
              </w:rPr>
              <w:t>New % Allocation</w:t>
            </w:r>
          </w:p>
        </w:tc>
        <w:tc>
          <w:tcPr>
            <w:tcW w:type="dxa" w:w="2520"/>
          </w:tcPr>
          <w:p>
            <w:r>
              <w:rPr>
                <w:b/>
                <w:sz w:val="20"/>
              </w:rPr>
              <w:t>New Cost (USD)</w:t>
            </w:r>
          </w:p>
        </w:tc>
        <w:tc>
          <w:tcPr>
            <w:tcW w:type="dxa" w:w="2520"/>
          </w:tcPr>
          <w:p>
            <w:r>
              <w:rPr>
                <w:b/>
                <w:sz w:val="20"/>
              </w:rPr>
              <w:t>Change vs Original</w:t>
            </w:r>
          </w:p>
        </w:tc>
      </w:tr>
      <w:tr>
        <w:tc>
          <w:tcPr>
            <w:tcW w:type="dxa" w:w="2520"/>
          </w:tcPr>
          <w:p>
            <w:r>
              <w:rPr>
                <w:sz w:val="20"/>
              </w:rPr>
              <w:t>USA</w:t>
            </w:r>
          </w:p>
        </w:tc>
        <w:tc>
          <w:tcPr>
            <w:tcW w:type="dxa" w:w="2520"/>
          </w:tcPr>
          <w:p>
            <w:r>
              <w:rPr>
                <w:sz w:val="20"/>
              </w:rPr>
              <w:t>34%</w:t>
            </w:r>
          </w:p>
        </w:tc>
        <w:tc>
          <w:tcPr>
            <w:tcW w:type="dxa" w:w="2520"/>
          </w:tcPr>
          <w:p>
            <w:r>
              <w:rPr>
                <w:sz w:val="20"/>
              </w:rPr>
              <w:t>$459,000</w:t>
            </w:r>
          </w:p>
        </w:tc>
        <w:tc>
          <w:tcPr>
            <w:tcW w:type="dxa" w:w="2520"/>
          </w:tcPr>
          <w:p>
            <w:r>
              <w:rPr>
                <w:sz w:val="20"/>
              </w:rPr>
              <w:t>66% lower</w:t>
            </w:r>
          </w:p>
        </w:tc>
      </w:tr>
      <w:tr>
        <w:tc>
          <w:tcPr>
            <w:tcW w:type="dxa" w:w="2520"/>
          </w:tcPr>
          <w:p>
            <w:r>
              <w:rPr>
                <w:sz w:val="20"/>
              </w:rPr>
              <w:t>India</w:t>
            </w:r>
          </w:p>
        </w:tc>
        <w:tc>
          <w:tcPr>
            <w:tcW w:type="dxa" w:w="2520"/>
          </w:tcPr>
          <w:p>
            <w:r>
              <w:rPr>
                <w:sz w:val="20"/>
              </w:rPr>
              <w:t>22%</w:t>
            </w:r>
          </w:p>
        </w:tc>
        <w:tc>
          <w:tcPr>
            <w:tcW w:type="dxa" w:w="2520"/>
          </w:tcPr>
          <w:p>
            <w:r>
              <w:rPr>
                <w:sz w:val="20"/>
              </w:rPr>
              <w:t>$297,000</w:t>
            </w:r>
          </w:p>
        </w:tc>
        <w:tc>
          <w:tcPr>
            <w:tcW w:type="dxa" w:w="2520"/>
          </w:tcPr>
          <w:p>
            <w:r>
              <w:rPr>
                <w:sz w:val="20"/>
              </w:rPr>
              <w:t>New addition</w:t>
            </w:r>
          </w:p>
        </w:tc>
      </w:tr>
      <w:tr>
        <w:tc>
          <w:tcPr>
            <w:tcW w:type="dxa" w:w="2520"/>
          </w:tcPr>
          <w:p>
            <w:r>
              <w:rPr>
                <w:sz w:val="20"/>
              </w:rPr>
              <w:t>China</w:t>
            </w:r>
          </w:p>
        </w:tc>
        <w:tc>
          <w:tcPr>
            <w:tcW w:type="dxa" w:w="2520"/>
          </w:tcPr>
          <w:p>
            <w:r>
              <w:rPr>
                <w:sz w:val="20"/>
              </w:rPr>
              <w:t>22%</w:t>
            </w:r>
          </w:p>
        </w:tc>
        <w:tc>
          <w:tcPr>
            <w:tcW w:type="dxa" w:w="2520"/>
          </w:tcPr>
          <w:p>
            <w:r>
              <w:rPr>
                <w:sz w:val="20"/>
              </w:rPr>
              <w:t>$297,000</w:t>
            </w:r>
          </w:p>
        </w:tc>
        <w:tc>
          <w:tcPr>
            <w:tcW w:type="dxa" w:w="2520"/>
          </w:tcPr>
          <w:p>
            <w:r>
              <w:rPr>
                <w:sz w:val="20"/>
              </w:rPr>
              <w:t>New addition</w:t>
            </w:r>
          </w:p>
        </w:tc>
      </w:tr>
      <w:tr>
        <w:tc>
          <w:tcPr>
            <w:tcW w:type="dxa" w:w="2520"/>
          </w:tcPr>
          <w:p>
            <w:r>
              <w:rPr>
                <w:sz w:val="20"/>
              </w:rPr>
              <w:t>Mexico</w:t>
            </w:r>
          </w:p>
        </w:tc>
        <w:tc>
          <w:tcPr>
            <w:tcW w:type="dxa" w:w="2520"/>
          </w:tcPr>
          <w:p>
            <w:r>
              <w:rPr>
                <w:sz w:val="20"/>
              </w:rPr>
              <w:t>22%</w:t>
            </w:r>
          </w:p>
        </w:tc>
        <w:tc>
          <w:tcPr>
            <w:tcW w:type="dxa" w:w="2520"/>
          </w:tcPr>
          <w:p>
            <w:r>
              <w:rPr>
                <w:sz w:val="20"/>
              </w:rPr>
              <w:t>$297,000</w:t>
            </w:r>
          </w:p>
        </w:tc>
        <w:tc>
          <w:tcPr>
            <w:tcW w:type="dxa" w:w="2520"/>
          </w:tcPr>
          <w:p>
            <w:r>
              <w:rPr>
                <w:sz w:val="20"/>
              </w:rPr>
              <w:t>New addition</w:t>
            </w:r>
          </w:p>
        </w:tc>
      </w:tr>
      <w:tr>
        <w:tc>
          <w:tcPr>
            <w:tcW w:type="dxa" w:w="2520"/>
          </w:tcPr>
          <w:p>
            <w:r>
              <w:rPr>
                <w:sz w:val="20"/>
              </w:rPr>
              <w:t>Total</w:t>
            </w:r>
          </w:p>
        </w:tc>
        <w:tc>
          <w:tcPr>
            <w:tcW w:type="dxa" w:w="2520"/>
          </w:tcPr>
          <w:p>
            <w:r>
              <w:rPr>
                <w:sz w:val="20"/>
              </w:rPr>
              <w:t>100%</w:t>
            </w:r>
          </w:p>
        </w:tc>
        <w:tc>
          <w:tcPr>
            <w:tcW w:type="dxa" w:w="2520"/>
          </w:tcPr>
          <w:p>
            <w:r>
              <w:rPr>
                <w:sz w:val="20"/>
              </w:rPr>
              <w:t>$1,350,000</w:t>
            </w:r>
          </w:p>
        </w:tc>
        <w:tc>
          <w:tcPr>
            <w:tcW w:type="dxa" w:w="2520"/>
          </w:tcPr>
          <w:p>
            <w:r>
              <w:rPr>
                <w:sz w:val="20"/>
              </w:rPr>
              <w:t>Balanced cost + risk mix</w:t>
            </w:r>
          </w:p>
        </w:tc>
      </w:tr>
    </w:tbl>
    <w:p/>
    <w:p>
      <w:pPr>
        <w:pStyle w:val="Heading2"/>
      </w:pPr>
      <w:r>
        <w:rPr>
          <w:color w:val="003366"/>
        </w:rPr>
        <w:t>REDUCTION IN SPEND SHARE</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Country</w:t>
            </w:r>
          </w:p>
        </w:tc>
        <w:tc>
          <w:tcPr>
            <w:tcW w:type="dxa" w:w="5040"/>
          </w:tcPr>
          <w:p>
            <w:r>
              <w:rPr>
                <w:b/>
                <w:sz w:val="20"/>
              </w:rPr>
              <w:t>Reduction in Spend Share</w:t>
            </w:r>
          </w:p>
        </w:tc>
      </w:tr>
      <w:tr>
        <w:tc>
          <w:tcPr>
            <w:tcW w:type="dxa" w:w="5040"/>
          </w:tcPr>
          <w:p>
            <w:r>
              <w:rPr>
                <w:sz w:val="20"/>
              </w:rPr>
              <w:t>USA</w:t>
            </w:r>
          </w:p>
        </w:tc>
        <w:tc>
          <w:tcPr>
            <w:tcW w:type="dxa" w:w="5040"/>
          </w:tcPr>
          <w:p>
            <w:r>
              <w:rPr>
                <w:sz w:val="20"/>
              </w:rPr>
              <w:t>100% → 34% = 66.0% reduction in share</w:t>
            </w:r>
          </w:p>
        </w:tc>
      </w:tr>
    </w:tbl>
    <w:p/>
    <w:p>
      <w:pPr>
        <w:pStyle w:val="Heading2"/>
      </w:pPr>
      <w:r>
        <w:rPr>
          <w:color w:val="003366"/>
        </w:rPr>
        <w:t>REGIONAL DEPENDENCY IMPROVEMENT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Metric</w:t>
            </w:r>
          </w:p>
        </w:tc>
        <w:tc>
          <w:tcPr>
            <w:tcW w:type="dxa" w:w="2520"/>
          </w:tcPr>
          <w:p>
            <w:r>
              <w:rPr>
                <w:b/>
                <w:sz w:val="20"/>
              </w:rPr>
              <w:t>Original 2026</w:t>
            </w:r>
          </w:p>
        </w:tc>
        <w:tc>
          <w:tcPr>
            <w:tcW w:type="dxa" w:w="2520"/>
          </w:tcPr>
          <w:p>
            <w:r>
              <w:rPr>
                <w:b/>
                <w:sz w:val="20"/>
              </w:rPr>
              <w:t>New Target</w:t>
            </w:r>
          </w:p>
        </w:tc>
        <w:tc>
          <w:tcPr>
            <w:tcW w:type="dxa" w:w="2520"/>
          </w:tcPr>
          <w:p>
            <w:r>
              <w:rPr>
                <w:b/>
                <w:sz w:val="20"/>
              </w:rPr>
              <w:t>Reduction</w:t>
            </w:r>
          </w:p>
        </w:tc>
      </w:tr>
      <w:tr>
        <w:tc>
          <w:tcPr>
            <w:tcW w:type="dxa" w:w="2520"/>
          </w:tcPr>
          <w:p>
            <w:r>
              <w:rPr>
                <w:sz w:val="20"/>
              </w:rPr>
              <w:t>Americas Supply Corridor</w:t>
            </w:r>
          </w:p>
        </w:tc>
        <w:tc>
          <w:tcPr>
            <w:tcW w:type="dxa" w:w="2520"/>
          </w:tcPr>
          <w:p>
            <w:r>
              <w:rPr>
                <w:sz w:val="20"/>
              </w:rPr>
              <w:t>100%</w:t>
            </w:r>
          </w:p>
        </w:tc>
        <w:tc>
          <w:tcPr>
            <w:tcW w:type="dxa" w:w="2520"/>
          </w:tcPr>
          <w:p>
            <w:r>
              <w:rPr>
                <w:sz w:val="20"/>
              </w:rPr>
              <w:t>65–75%</w:t>
            </w:r>
          </w:p>
        </w:tc>
        <w:tc>
          <w:tcPr>
            <w:tcW w:type="dxa" w:w="2520"/>
          </w:tcPr>
          <w:p>
            <w:r>
              <w:rPr>
                <w:sz w:val="20"/>
              </w:rPr>
              <w:t>25–35%</w:t>
            </w:r>
          </w:p>
        </w:tc>
      </w:tr>
    </w:tbl>
    <w:p/>
    <w:p>
      <w:pPr>
        <w:pStyle w:val="Heading2"/>
      </w:pPr>
      <w:r>
        <w:rPr>
          <w:color w:val="003366"/>
        </w:rPr>
        <w:t>COST ADVANTAGE DRIVERS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Region</w:t>
            </w:r>
          </w:p>
        </w:tc>
        <w:tc>
          <w:tcPr>
            <w:tcW w:type="dxa" w:w="3360"/>
          </w:tcPr>
          <w:p>
            <w:r>
              <w:rPr>
                <w:b/>
                <w:sz w:val="20"/>
              </w:rPr>
              <w:t>Cost Benefit Driver</w:t>
            </w:r>
          </w:p>
        </w:tc>
        <w:tc>
          <w:tcPr>
            <w:tcW w:type="dxa" w:w="3360"/>
          </w:tcPr>
          <w:p>
            <w:r>
              <w:rPr>
                <w:b/>
                <w:sz w:val="20"/>
              </w:rPr>
              <w:t>Estimated Annual Advantage (USD)</w:t>
            </w:r>
          </w:p>
        </w:tc>
      </w:tr>
      <w:tr>
        <w:tc>
          <w:tcPr>
            <w:tcW w:type="dxa" w:w="3360"/>
          </w:tcPr>
          <w:p>
            <w:r>
              <w:rPr>
                <w:sz w:val="20"/>
              </w:rPr>
              <w:t>India</w:t>
            </w:r>
          </w:p>
        </w:tc>
        <w:tc>
          <w:tcPr>
            <w:tcW w:type="dxa" w:w="3360"/>
          </w:tcPr>
          <w:p>
            <w:r>
              <w:rPr>
                <w:sz w:val="20"/>
              </w:rPr>
              <w:t>Cost-effective operations + skilled workforce</w:t>
            </w:r>
          </w:p>
        </w:tc>
        <w:tc>
          <w:tcPr>
            <w:tcW w:type="dxa" w:w="3360"/>
          </w:tcPr>
          <w:p>
            <w:r>
              <w:rPr>
                <w:sz w:val="20"/>
              </w:rPr>
              <w:t>$16,200 – $36,450</w:t>
            </w:r>
          </w:p>
        </w:tc>
      </w:tr>
      <w:tr>
        <w:tc>
          <w:tcPr>
            <w:tcW w:type="dxa" w:w="3360"/>
          </w:tcPr>
          <w:p>
            <w:r>
              <w:rPr>
                <w:sz w:val="20"/>
              </w:rPr>
              <w:t>China</w:t>
            </w:r>
          </w:p>
        </w:tc>
        <w:tc>
          <w:tcPr>
            <w:tcW w:type="dxa" w:w="3360"/>
          </w:tcPr>
          <w:p>
            <w:r>
              <w:rPr>
                <w:sz w:val="20"/>
              </w:rPr>
              <w:t>Manufacturing scale + supply chain efficiency</w:t>
            </w:r>
          </w:p>
        </w:tc>
        <w:tc>
          <w:tcPr>
            <w:tcW w:type="dxa" w:w="3360"/>
          </w:tcPr>
          <w:p>
            <w:r>
              <w:rPr>
                <w:sz w:val="20"/>
              </w:rPr>
              <w:t>$16,200 – $36,450</w:t>
            </w:r>
          </w:p>
        </w:tc>
      </w:tr>
      <w:tr>
        <w:tc>
          <w:tcPr>
            <w:tcW w:type="dxa" w:w="3360"/>
          </w:tcPr>
          <w:p>
            <w:r>
              <w:rPr>
                <w:sz w:val="20"/>
              </w:rPr>
              <w:t>Mexico</w:t>
            </w:r>
          </w:p>
        </w:tc>
        <w:tc>
          <w:tcPr>
            <w:tcW w:type="dxa" w:w="3360"/>
          </w:tcPr>
          <w:p>
            <w:r>
              <w:rPr>
                <w:sz w:val="20"/>
              </w:rPr>
              <w:t>Nearshoring benefits + trade agreements</w:t>
            </w:r>
          </w:p>
        </w:tc>
        <w:tc>
          <w:tcPr>
            <w:tcW w:type="dxa" w:w="3360"/>
          </w:tcPr>
          <w:p>
            <w:r>
              <w:rPr>
                <w:sz w:val="20"/>
              </w:rPr>
              <w:t>$16,200 – $36,450</w:t>
            </w:r>
          </w:p>
        </w:tc>
      </w:tr>
      <w:tr>
        <w:tc>
          <w:tcPr>
            <w:tcW w:type="dxa" w:w="3360"/>
          </w:tcPr>
          <w:p>
            <w:r>
              <w:rPr>
                <w:sz w:val="20"/>
              </w:rPr>
              <w:t>Blended Annual Advantage</w:t>
            </w:r>
          </w:p>
        </w:tc>
        <w:tc>
          <w:tcPr>
            <w:tcW w:type="dxa" w:w="3360"/>
          </w:tcPr>
          <w:p>
            <w:r>
              <w:rPr>
                <w:sz w:val="20"/>
              </w:rPr>
              <w:t>Supplier competition + diversification benefits + logistics resilience</w:t>
            </w:r>
          </w:p>
        </w:tc>
        <w:tc>
          <w:tcPr>
            <w:tcW w:type="dxa" w:w="3360"/>
          </w:tcPr>
          <w:p>
            <w:r>
              <w:rPr>
                <w:sz w:val="20"/>
              </w:rPr>
              <w:t>$48,600 – $109,350</w:t>
            </w:r>
          </w:p>
        </w:tc>
      </w:tr>
    </w:tbl>
    <w:p/>
    <w:p>
      <w:pPr>
        <w:pStyle w:val="Heading2"/>
      </w:pPr>
      <w:r>
        <w:rPr>
          <w:color w:val="003366"/>
        </w:rPr>
        <w:t>RISK ASSESSMENT MATRIX</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Risk Category</w:t>
            </w:r>
          </w:p>
        </w:tc>
        <w:tc>
          <w:tcPr>
            <w:tcW w:type="dxa" w:w="3360"/>
          </w:tcPr>
          <w:p>
            <w:r>
              <w:rPr>
                <w:b/>
                <w:sz w:val="20"/>
              </w:rPr>
              <w:t>Current Level</w:t>
            </w:r>
          </w:p>
        </w:tc>
        <w:tc>
          <w:tcPr>
            <w:tcW w:type="dxa" w:w="3360"/>
          </w:tcPr>
          <w:p>
            <w:r>
              <w:rPr>
                <w:b/>
                <w:sz w:val="20"/>
              </w:rPr>
              <w:t>Description</w:t>
            </w:r>
          </w:p>
        </w:tc>
      </w:tr>
      <w:tr>
        <w:tc>
          <w:tcPr>
            <w:tcW w:type="dxa" w:w="3360"/>
          </w:tcPr>
          <w:p>
            <w:r>
              <w:rPr>
                <w:sz w:val="20"/>
              </w:rPr>
              <w:t>Supply Chain Risk</w:t>
            </w:r>
          </w:p>
        </w:tc>
        <w:tc>
          <w:tcPr>
            <w:tcW w:type="dxa" w:w="3360"/>
          </w:tcPr>
          <w:p>
            <w:r>
              <w:rPr>
                <w:sz w:val="20"/>
              </w:rPr>
              <w:t>CRITICAL</w:t>
            </w:r>
          </w:p>
        </w:tc>
        <w:tc>
          <w:tcPr>
            <w:tcW w:type="dxa" w:w="3360"/>
          </w:tcPr>
          <w:p>
            <w:r>
              <w:rPr>
                <w:sz w:val="20"/>
              </w:rPr>
              <w:t>Supplier concentration level</w:t>
            </w:r>
          </w:p>
        </w:tc>
      </w:tr>
      <w:tr>
        <w:tc>
          <w:tcPr>
            <w:tcW w:type="dxa" w:w="3360"/>
          </w:tcPr>
          <w:p>
            <w:r>
              <w:rPr>
                <w:sz w:val="20"/>
              </w:rPr>
              <w:t>Geographic Risk</w:t>
            </w:r>
          </w:p>
        </w:tc>
        <w:tc>
          <w:tcPr>
            <w:tcW w:type="dxa" w:w="3360"/>
          </w:tcPr>
          <w:p>
            <w:r>
              <w:rPr>
                <w:sz w:val="20"/>
              </w:rPr>
              <w:t>CRITICAL</w:t>
            </w:r>
          </w:p>
        </w:tc>
        <w:tc>
          <w:tcPr>
            <w:tcW w:type="dxa" w:w="3360"/>
          </w:tcPr>
          <w:p>
            <w:r>
              <w:rPr>
                <w:sz w:val="20"/>
              </w:rPr>
              <w:t>Regional concentration level</w:t>
            </w:r>
          </w:p>
        </w:tc>
      </w:tr>
      <w:tr>
        <w:tc>
          <w:tcPr>
            <w:tcW w:type="dxa" w:w="3360"/>
          </w:tcPr>
          <w:p>
            <w:r>
              <w:rPr>
                <w:sz w:val="20"/>
              </w:rPr>
              <w:t>Supplier Diversity</w:t>
            </w:r>
          </w:p>
        </w:tc>
        <w:tc>
          <w:tcPr>
            <w:tcW w:type="dxa" w:w="3360"/>
          </w:tcPr>
          <w:p>
            <w:r>
              <w:rPr>
                <w:sz w:val="20"/>
              </w:rPr>
              <w:t>CRITICAL</w:t>
            </w:r>
          </w:p>
        </w:tc>
        <w:tc>
          <w:tcPr>
            <w:tcW w:type="dxa" w:w="3360"/>
          </w:tcPr>
          <w:p>
            <w:r>
              <w:rPr>
                <w:sz w:val="20"/>
              </w:rPr>
              <w:t>Number of qualified suppliers</w:t>
            </w:r>
          </w:p>
        </w:tc>
      </w:tr>
      <w:tr>
        <w:tc>
          <w:tcPr>
            <w:tcW w:type="dxa" w:w="3360"/>
          </w:tcPr>
          <w:p>
            <w:r>
              <w:rPr>
                <w:sz w:val="20"/>
              </w:rPr>
              <w:t>Overall Risk Score</w:t>
            </w:r>
          </w:p>
        </w:tc>
        <w:tc>
          <w:tcPr>
            <w:tcW w:type="dxa" w:w="3360"/>
          </w:tcPr>
          <w:p>
            <w:r>
              <w:rPr>
                <w:sz w:val="20"/>
              </w:rPr>
              <w:t>4.0/4.0</w:t>
            </w:r>
          </w:p>
        </w:tc>
        <w:tc>
          <w:tcPr>
            <w:tcW w:type="dxa" w:w="3360"/>
          </w:tcPr>
          <w:p>
            <w:r>
              <w:rPr>
                <w:sz w:val="20"/>
              </w:rPr>
              <w:t>CRITICAL</w:t>
            </w:r>
          </w:p>
        </w:tc>
      </w:tr>
    </w:tbl>
    <w:p/>
    <w:p>
      <w:pPr>
        <w:pStyle w:val="Heading2"/>
      </w:pPr>
      <w:r>
        <w:rPr>
          <w:color w:val="003366"/>
        </w:rPr>
        <w:t>ROI PROJECTIONS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Financial Metric</w:t>
            </w:r>
          </w:p>
        </w:tc>
        <w:tc>
          <w:tcPr>
            <w:tcW w:type="dxa" w:w="5040"/>
          </w:tcPr>
          <w:p>
            <w:r>
              <w:rPr>
                <w:b/>
                <w:sz w:val="20"/>
              </w:rPr>
              <w:t>Projected Value</w:t>
            </w:r>
          </w:p>
        </w:tc>
      </w:tr>
      <w:tr>
        <w:tc>
          <w:tcPr>
            <w:tcW w:type="dxa" w:w="5040"/>
          </w:tcPr>
          <w:p>
            <w:r>
              <w:rPr>
                <w:sz w:val="20"/>
              </w:rPr>
              <w:t>Annual Cost Savings</w:t>
            </w:r>
          </w:p>
        </w:tc>
        <w:tc>
          <w:tcPr>
            <w:tcW w:type="dxa" w:w="5040"/>
          </w:tcPr>
          <w:p>
            <w:r>
              <w:rPr>
                <w:sz w:val="20"/>
              </w:rPr>
              <w:t>$48,600 – $109,350</w:t>
            </w:r>
          </w:p>
        </w:tc>
      </w:tr>
      <w:tr>
        <w:tc>
          <w:tcPr>
            <w:tcW w:type="dxa" w:w="5040"/>
          </w:tcPr>
          <w:p>
            <w:r>
              <w:rPr>
                <w:sz w:val="20"/>
              </w:rPr>
              <w:t>Risk Reduction Value</w:t>
            </w:r>
          </w:p>
        </w:tc>
        <w:tc>
          <w:tcPr>
            <w:tcW w:type="dxa" w:w="5040"/>
          </w:tcPr>
          <w:p>
            <w:r>
              <w:rPr>
                <w:sz w:val="20"/>
              </w:rPr>
              <w:t>$20,250</w:t>
            </w:r>
          </w:p>
        </w:tc>
      </w:tr>
      <w:tr>
        <w:tc>
          <w:tcPr>
            <w:tcW w:type="dxa" w:w="5040"/>
          </w:tcPr>
          <w:p>
            <w:r>
              <w:rPr>
                <w:sz w:val="20"/>
              </w:rPr>
              <w:t>ROI (First Year)</w:t>
            </w:r>
          </w:p>
        </w:tc>
        <w:tc>
          <w:tcPr>
            <w:tcW w:type="dxa" w:w="5040"/>
          </w:tcPr>
          <w:p>
            <w:r>
              <w:rPr>
                <w:sz w:val="20"/>
              </w:rPr>
              <w:t>155% – 380%</w:t>
            </w:r>
          </w:p>
        </w:tc>
      </w:tr>
      <w:tr>
        <w:tc>
          <w:tcPr>
            <w:tcW w:type="dxa" w:w="5040"/>
          </w:tcPr>
          <w:p>
            <w:r>
              <w:rPr>
                <w:sz w:val="20"/>
              </w:rPr>
              <w:t>3-Year Net Benefit</w:t>
            </w:r>
          </w:p>
        </w:tc>
        <w:tc>
          <w:tcPr>
            <w:tcW w:type="dxa" w:w="5040"/>
          </w:tcPr>
          <w:p>
            <w:r>
              <w:rPr>
                <w:sz w:val="20"/>
              </w:rPr>
              <w:t>$179,550 – $361,800</w:t>
            </w:r>
          </w:p>
        </w:tc>
      </w:tr>
    </w:tbl>
    <w:p/>
    <w:p>
      <w:pPr>
        <w:pStyle w:val="Heading2"/>
      </w:pPr>
      <w:r>
        <w:rPr>
          <w:color w:val="003366"/>
        </w:rPr>
        <w:t>STRATEGIC OUTCOME</w:t>
      </w:r>
    </w:p>
    <w:p>
      <w:pPr>
        <w:pStyle w:val="ListBullet"/>
      </w:pPr>
      <w:r>
        <w:t>Reduce USA reliance by 66%</w:t>
      </w:r>
    </w:p>
    <w:p>
      <w:pPr>
        <w:pStyle w:val="ListBullet"/>
      </w:pPr>
      <w:r>
        <w:t>Add 3 new supply ecosystems to offset concentration</w:t>
      </w:r>
    </w:p>
    <w:p>
      <w:pPr>
        <w:pStyle w:val="ListBullet"/>
      </w:pPr>
      <w:r>
        <w:t>Increase supplier pricing competition across regions</w:t>
      </w:r>
    </w:p>
    <w:p>
      <w:pPr>
        <w:pStyle w:val="ListBullet"/>
      </w:pPr>
      <w:r>
        <w:t>Improve logistics routing resilience</w:t>
      </w:r>
    </w:p>
    <w:p>
      <w:pPr>
        <w:pStyle w:val="ListBullet"/>
      </w:pPr>
      <w:r>
        <w:t>Reduce corridor risk by ~25% with blended cost advantage</w:t>
      </w:r>
    </w:p>
    <w:p/>
    <w:p>
      <w:pPr>
        <w:pStyle w:val="Heading2"/>
      </w:pPr>
      <w:r>
        <w:rPr>
          <w:color w:val="003366"/>
        </w:rPr>
        <w:t>WHY THIS MATTERS</w:t>
      </w:r>
    </w:p>
    <w:p>
      <w:r>
        <w:t xml:space="preserve">This analysis reveals a critical supplier concentration issue in Food-Grade Plastics. With 100% of the $1,350,000 annual spend flowing through a single supplier, any disruption—whether from production issues, logistics failures, geopolitical events, or commercial disputes—would result in complete supply chain failure. </w:t>
        <w:br/>
        <w:br/>
        <w:t>This matters because: (1) Supply chain resilience is now a board-level priority, (2) Procurement concentration directly impacts business continuity risk profiles, (3) Diversification typically yields 5-15% cost improvements through competitive pressure, and (4) immediate action required to maintain competitive procurement operations.</w:t>
      </w:r>
    </w:p>
    <w:p/>
    <w:p>
      <w:pPr>
        <w:pStyle w:val="Heading2"/>
      </w:pPr>
      <w:r>
        <w:rPr>
          <w:color w:val="003366"/>
        </w:rPr>
        <w:t>BUSINESS JUSTIFICATION</w:t>
      </w:r>
    </w:p>
    <w:p>
      <w:r>
        <w:t>BUSINESS CASE JUSTIFICATION:</w:t>
        <w:br/>
        <w:br/>
        <w:t>1. FINANCIAL RETURN: The proposed diversification is projected to deliver $48,600 to $109,350 in annual cost savings, representing a 155%-380% ROI on the estimated $27,000 implementation investment.</w:t>
        <w:br/>
        <w:br/>
        <w:t>2. RISK MITIGATION: Current risk level is rated CRITICAL. Reducing concentration by 25 percentage points will significantly lower supply chain vulnerability, improve business continuity, and reduce exposure to single-source disruptions.</w:t>
        <w:br/>
        <w:br/>
        <w:t>3. STRATEGIC VALUE: Beyond direct savings, diversification enables: (a) Improved negotiating leverage with existing suppliers, (b) Access to innovation from multiple sources, (c) Flexibility to respond to demand changes, and (d) Alignment with enterprise risk management policies.</w:t>
      </w:r>
    </w:p>
    <w:p/>
    <w:p>
      <w:pPr>
        <w:pStyle w:val="Heading2"/>
      </w:pPr>
      <w:r>
        <w:rPr>
          <w:color w:val="003366"/>
        </w:rPr>
        <w:t>RISK ANALYSIS</w:t>
      </w:r>
    </w:p>
    <w:p>
      <w:r>
        <w:t>RISK ANALYSIS REASONING:</w:t>
        <w:br/>
        <w:br/>
        <w:t>• SUPPLIER RISK (CRITICAL): At 100% concentration, a single supplier controls the vast majority of supply. Industry best practice recommends no single supplier exceeds 30%. Current state exceeds this threshold by 3x.</w:t>
        <w:br/>
        <w:br/>
        <w:t>• GEOGRAPHIC RISK (HIGH): 100% of spend is concentrated in USA. This exposes the supply chain to regional disruptions including: natural disasters, political instability, trade policy changes, and logistics bottlenecks.</w:t>
        <w:br/>
        <w:br/>
        <w:t>• DIVERSITY RISK (CRITICAL): Only 1 supplier(s) active. Limited supplier pool means no fallback options during disruptions and insufficient competition to drive optimal pricing.</w:t>
      </w:r>
    </w:p>
    <w:p/>
    <w:p>
      <w:pPr>
        <w:pStyle w:val="Heading2"/>
      </w:pPr>
      <w:r>
        <w:rPr>
          <w:color w:val="003366"/>
        </w:rPr>
        <w:t>RECOMMENDATION RATIONALE</w:t>
      </w:r>
    </w:p>
    <w:p>
      <w:r>
        <w:t>RECOMMENDATION RATIONALE:</w:t>
        <w:br/>
        <w:br/>
        <w:t>The recommended diversification strategy is based on:</w:t>
        <w:br/>
        <w:br/>
        <w:t>1. IDENTIFY ALTERNATE SUPPLIERS: New supplier qualification should prioritize candidates with existing certifications, proven track records, and geographic diversity from current sources.</w:t>
        <w:br/>
        <w:br/>
        <w:t xml:space="preserve">2. REGIONAL DIVERSIFICATION TO INDIA, CHINA: These regions are identified as optimal for Food-Grade Plastics based on: </w:t>
        <w:br/>
        <w:t xml:space="preserve">   • India: Cost-effective operations + skilled workforce</w:t>
        <w:br/>
        <w:t xml:space="preserve">   • China: Manufacturing scale + supply chain efficiency</w:t>
        <w:br/>
        <w:br/>
        <w:t>3. PHASED IMPLEMENTATION: The 26-week timeline allows for: controlled pilot testing, performance validation before scale-up, and risk mitigation through gradual volume transitions rather than abrupt supplier changes that could disrupt operations.</w:t>
      </w:r>
    </w:p>
    <w:p/>
    <w:p>
      <w:pPr>
        <w:pStyle w:val="Heading2"/>
      </w:pPr>
      <w:r>
        <w:rPr>
          <w:color w:val="003366"/>
        </w:rPr>
        <w:t>🤖 AI-GENERATED EXECUTIVE SUMMARY</w:t>
      </w:r>
    </w:p>
    <w:p>
      <w:pPr>
        <w:spacing w:after="240"/>
      </w:pPr>
      <w:r>
        <w:t>The current procurement strategy for food-grade plastics reveals a critical geographic concentration risk, with 100% of the annual spend, amounting to $1,350,000, allocated to suppliers in the USA. This singular focus on a limited geographic area exposes the organization to significant vulnerabilities, as it exceeds the 40% threshold for regional concentration risk. Such a concentrated spend profile amplifies the potential impact of regional disruptions, which could severely affect supply chain continuity and operational resilience.</w:t>
        <w:br/>
        <w:br/>
        <w:t>Regional concentration poses several challenges that could adversely affect business operations. Firstly, geopolitical risks, such as changes in trade policies or regulatory environments, could disrupt supply lines or increase costs. Additionally, reliance on a single region heightens exposure to logistics disruptions, such as natural disasters or transportation strikes, which could delay deliveries and impact production schedules. Furthermore, currency fluctuations specific to the USD could lead to cost volatility, affecting the predictability of procurement budgets.</w:t>
        <w:br/>
        <w:br/>
        <w:t>To mitigate these risks, a strategic diversification plan is being implemented to redistribute the spend across additional regions. This strategy involves identifying and engaging with suppliers in Europe and Asia, regions known for their robust manufacturing capabilities and stable economic environments. By reallocating a portion of the spend to these regions, the organization aims to achieve a more balanced geographic distribution, thereby reducing dependency on the USA and enhancing supply chain resilience.</w:t>
        <w:br/>
        <w:br/>
        <w:t>The expected benefits of this diversification strategy are substantial. By decreasing the concentration in the USA, the organization anticipates annual savings ranging from $48,600 to $109,350, driven by competitive pricing and improved negotiation leverage with a broader supplier base. Moreover, the diversification will significantly reduce the risk of supply chain disruptions, ensuring more consistent and reliable operations. This proactive approach not only safeguards against potential regional threats but also positions the organization to capitalize on global market opportunities, ultimately strengthening its competitive edge.</w:t>
      </w:r>
    </w:p>
    <w:p/>
    <w:p>
      <w:pPr>
        <w:pStyle w:val="Heading2"/>
      </w:pPr>
      <w:r>
        <w:rPr>
          <w:color w:val="003366"/>
        </w:rPr>
        <w:t>🤖 AI-POWERED RISK ANALYSIS</w:t>
      </w:r>
    </w:p>
    <w:p>
      <w:pPr>
        <w:spacing w:after="240"/>
      </w:pPr>
      <w:r>
        <w:t>## ANALYSIS SUMMARY</w:t>
        <w:br/>
        <w:br/>
        <w:t xml:space="preserve">**Data Source:** Not explicitly provided  </w:t>
        <w:br/>
        <w:t xml:space="preserve">**Analysis Date:** [CURRENT_DATE]  </w:t>
        <w:br/>
        <w:t xml:space="preserve">**Category:** Food-Grade Plastics  </w:t>
        <w:br/>
        <w:br/>
        <w:t>---</w:t>
        <w:br/>
        <w:br/>
        <w:t>## CURRENT RISK EXPOSURE</w:t>
        <w:br/>
        <w:br/>
        <w:t>The current risk exposure in the Food-Grade Plastics category is critically high, with a total spend at risk of $1,350,000. This represents a significant portion of the procurement budget, concentrated entirely in the Americas. The critical risk levels across supply chain, geographic, and supplier diversity dimensions indicate a severe vulnerability to disruptions. A single supplier, Berry Global, accounts for 100% of the spend, which poses a substantial threat to business continuity. Should any disruptions occur, the business could face immediate and severe impacts, including halted production, unmet customer demand, and potential financial losses.</w:t>
        <w:br/>
        <w:br/>
        <w:t>---</w:t>
        <w:br/>
        <w:br/>
        <w:t>## RULE VIOLATION ANALYSIS</w:t>
        <w:br/>
        <w:br/>
        <w:t>The procurement process currently violates several critical rules, with a compliance rate of only 65.7%. The most pressing violation is the regional concentration, where 100% of the spend is concentrated in the Americas, exceeding the 40% threshold by 60%. This lack of geographic diversification increases susceptibility to regional disruptions. Another significant violation is the single supplier dependency on Berry Global, which exceeds the 60% limit by 40%. This dependency heightens the risk of supply chain disruptions if Berry Global faces operational issues. Additionally, the minimum order quantity and diverse supplier spend violations indicate inefficiencies and a lack of strategic supplier engagement, which could hinder innovation and cost optimization.</w:t>
        <w:br/>
        <w:br/>
        <w:t>---</w:t>
        <w:br/>
        <w:br/>
        <w:t>## SCENARIO ANALYSIS</w:t>
        <w:br/>
        <w:br/>
        <w:t>Several realistic disruption scenarios could severely impact the business. Firstly, a natural disaster or political instability in the Americas could disrupt the supply chain, leading to delays and increased costs. Secondly, operational issues at Berry Global, such as labor strikes or production halts, could completely stop the supply of food-grade plastics, affecting production schedules and customer satisfaction. Lastly, regulatory changes or trade restrictions in the Americas could increase costs or limit supply availability, forcing the business to seek alternative suppliers at a premium.</w:t>
        <w:br/>
        <w:br/>
        <w:t>---</w:t>
        <w:br/>
        <w:br/>
        <w:t>## RISK INTERDEPENDENCIES</w:t>
        <w:br/>
        <w:br/>
        <w:t>Supplier and geographic risks are deeply interdependent in this scenario. The reliance on a single supplier within a single geographic region compounds the risk exposure. Any disruption affecting Berry Global or the Americas region would have a magnified impact due to the lack of alternative suppliers and regions. This interdependency creates a fragile supply chain that is highly susceptible to external shocks, making it imperative to address both supplier and geographic diversification simultaneously.</w:t>
        <w:br/>
        <w:br/>
        <w:t>---</w:t>
        <w:br/>
        <w:br/>
        <w:t>## MITIGATION URGENCY</w:t>
        <w:br/>
        <w:br/>
        <w:t>Immediate action is required to mitigate these risks. The current risk levels are unsustainable and pose a significant threat to business operations. Delaying mitigation efforts could result in severe financial and operational consequences, including production stoppages, increased costs, and loss of market share. By diversifying suppliers and regions, the business can enhance its resilience and reduce its vulnerability to disruptions. Implementing these changes now will ensure a more stable and secure supply chain, safeguarding the business against future risks.</w:t>
      </w:r>
    </w:p>
    <w:p/>
    <w:p>
      <w:pPr>
        <w:pStyle w:val="Heading2"/>
      </w:pPr>
      <w:r>
        <w:rPr>
          <w:color w:val="003366"/>
        </w:rPr>
        <w:t>🤖 AI-GENERATED STRATEGIC RECOMMENDATIONS</w:t>
      </w:r>
    </w:p>
    <w:p>
      <w:pPr>
        <w:spacing w:after="240"/>
      </w:pPr>
      <w:r>
        <w:t>RECOMMENDATION RATIONALE:</w:t>
        <w:br/>
        <w:br/>
        <w:t>The recommended diversification strategy is based on:</w:t>
        <w:br/>
        <w:br/>
        <w:t>1. IDENTIFY ALTERNATE SUPPLIERS: New supplier qualification should prioritize candidates with existing certifications, proven track records, and geographic diversity from current sources.</w:t>
        <w:br/>
        <w:br/>
        <w:t>3. PHASED IMPLEMENTATION: The 26-week timeline allows for: controlled pilot testing, performance validation before scale-up, and risk mitigation through gradual volume transitions rather than abrupt supplier changes that could disrupt operations.</w:t>
      </w:r>
    </w:p>
    <w:p/>
    <w:p>
      <w:pPr>
        <w:pStyle w:val="Heading2"/>
      </w:pPr>
      <w:r>
        <w:rPr>
          <w:color w:val="003366"/>
        </w:rPr>
        <w:t>🤖 AI MARKET INTELLIGENCE</w:t>
      </w:r>
    </w:p>
    <w:p>
      <w:pPr>
        <w:spacing w:after="240"/>
      </w:pPr>
      <w:r>
        <w:t>The Food-Grade Plastics market continues to evolve with shifting global supply dynamics. Current sourcing</w:t>
        <w:br/>
        <w:t>is concentrated in USA, India, China, representing the primary supply corridor for this category.</w:t>
        <w:br/>
        <w:br/>
        <w:t>Regional analysis indicates opportunities for optimization. India, China, Mexico represent emerging</w:t>
        <w:br/>
        <w:t>sourcing alternatives with competitive cost structures. These regions offer potential savings</w:t>
        <w:br/>
        <w:t>of 8%-18% compared to traditional sourcing locations, while maintaining</w:t>
        <w:br/>
        <w:t>quality standards aligned with enterprise requirements.</w:t>
        <w:br/>
        <w:br/>
        <w:t>The supplier landscape in this category ranges from large multinational providers to specialized</w:t>
        <w:br/>
        <w:t>regional players. Market consolidation trends suggest the importance of securing strategic</w:t>
        <w:br/>
        <w:t>supplier relationships while maintaining competitive tension through multi-sourcing strategies.</w:t>
        <w:br/>
        <w:br/>
        <w:t>Key considerations for Food-Grade Plastics sourcing include total cost of ownership (including logistics),</w:t>
        <w:br/>
        <w:t>supplier reliability metrics, quality certification requirements, and alignment with sustainability</w:t>
        <w:br/>
        <w:t>objectives. A balanced approach across multiple regions and suppliers optimizes both cost and</w:t>
        <w:br/>
        <w:t>risk exposure.</w:t>
      </w:r>
    </w:p>
    <w:p/>
    <w:p>
      <w:pPr>
        <w:pStyle w:val="Heading2"/>
      </w:pPr>
      <w:r>
        <w:rPr>
          <w:color w:val="003366"/>
        </w:rPr>
        <w:t>IMPLEMENTATION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Phase</w:t>
            </w:r>
          </w:p>
        </w:tc>
        <w:tc>
          <w:tcPr>
            <w:tcW w:type="dxa" w:w="3360"/>
          </w:tcPr>
          <w:p>
            <w:r>
              <w:rPr>
                <w:b/>
                <w:sz w:val="20"/>
              </w:rPr>
              <w:t>Duration</w:t>
            </w:r>
          </w:p>
        </w:tc>
        <w:tc>
          <w:tcPr>
            <w:tcW w:type="dxa" w:w="3360"/>
          </w:tcPr>
          <w:p>
            <w:r>
              <w:rPr>
                <w:b/>
                <w:sz w:val="20"/>
              </w:rPr>
              <w:t>Key Activities</w:t>
            </w:r>
          </w:p>
        </w:tc>
      </w:tr>
      <w:tr>
        <w:tc>
          <w:tcPr>
            <w:tcW w:type="dxa" w:w="3360"/>
          </w:tcPr>
          <w:p>
            <w:r>
              <w:rPr>
                <w:sz w:val="20"/>
              </w:rPr>
              <w:t>Phase 1: Supplier Qualification</w:t>
            </w:r>
          </w:p>
        </w:tc>
        <w:tc>
          <w:tcPr>
            <w:tcW w:type="dxa" w:w="3360"/>
          </w:tcPr>
          <w:p>
            <w:r>
              <w:rPr>
                <w:sz w:val="20"/>
              </w:rPr>
              <w:t>Weeks 1-4</w:t>
            </w:r>
          </w:p>
        </w:tc>
        <w:tc>
          <w:tcPr>
            <w:tcW w:type="dxa" w:w="3360"/>
          </w:tcPr>
          <w:p>
            <w:r>
              <w:rPr>
                <w:sz w:val="20"/>
              </w:rPr>
              <w:t>Identify and shortlist alternate suppliers, Request for Information (RFI) distribution</w:t>
            </w:r>
          </w:p>
        </w:tc>
      </w:tr>
      <w:tr>
        <w:tc>
          <w:tcPr>
            <w:tcW w:type="dxa" w:w="3360"/>
          </w:tcPr>
          <w:p>
            <w:r>
              <w:rPr>
                <w:sz w:val="20"/>
              </w:rPr>
              <w:t>Phase 2: Pilot Contracts</w:t>
            </w:r>
          </w:p>
        </w:tc>
        <w:tc>
          <w:tcPr>
            <w:tcW w:type="dxa" w:w="3360"/>
          </w:tcPr>
          <w:p>
            <w:r>
              <w:rPr>
                <w:sz w:val="20"/>
              </w:rPr>
              <w:t>Weeks 5-12</w:t>
            </w:r>
          </w:p>
        </w:tc>
        <w:tc>
          <w:tcPr>
            <w:tcW w:type="dxa" w:w="3360"/>
          </w:tcPr>
          <w:p>
            <w:r>
              <w:rPr>
                <w:sz w:val="20"/>
              </w:rPr>
              <w:t>Negotiate pilot contract terms, Execute 8-12 week pilot allocations</w:t>
            </w:r>
          </w:p>
        </w:tc>
      </w:tr>
      <w:tr>
        <w:tc>
          <w:tcPr>
            <w:tcW w:type="dxa" w:w="3360"/>
          </w:tcPr>
          <w:p>
            <w:r>
              <w:rPr>
                <w:sz w:val="20"/>
              </w:rPr>
              <w:t>Phase 3: Performance Review</w:t>
            </w:r>
          </w:p>
        </w:tc>
        <w:tc>
          <w:tcPr>
            <w:tcW w:type="dxa" w:w="3360"/>
          </w:tcPr>
          <w:p>
            <w:r>
              <w:rPr>
                <w:sz w:val="20"/>
              </w:rPr>
              <w:t>Week 13</w:t>
            </w:r>
          </w:p>
        </w:tc>
        <w:tc>
          <w:tcPr>
            <w:tcW w:type="dxa" w:w="3360"/>
          </w:tcPr>
          <w:p>
            <w:r>
              <w:rPr>
                <w:sz w:val="20"/>
              </w:rPr>
              <w:t>Quarterly performance review, Cost-benefit analysis</w:t>
            </w:r>
          </w:p>
        </w:tc>
      </w:tr>
      <w:tr>
        <w:tc>
          <w:tcPr>
            <w:tcW w:type="dxa" w:w="3360"/>
          </w:tcPr>
          <w:p>
            <w:r>
              <w:rPr>
                <w:sz w:val="20"/>
              </w:rPr>
              <w:t>Phase 4: Scale-Up</w:t>
            </w:r>
          </w:p>
        </w:tc>
        <w:tc>
          <w:tcPr>
            <w:tcW w:type="dxa" w:w="3360"/>
          </w:tcPr>
          <w:p>
            <w:r>
              <w:rPr>
                <w:sz w:val="20"/>
              </w:rPr>
              <w:t>Weeks 14-26</w:t>
            </w:r>
          </w:p>
        </w:tc>
        <w:tc>
          <w:tcPr>
            <w:tcW w:type="dxa" w:w="3360"/>
          </w:tcPr>
          <w:p>
            <w:r>
              <w:rPr>
                <w:sz w:val="20"/>
              </w:rPr>
              <w:t>Gradual volume transition, Long-term contract negotiation</w:t>
            </w:r>
          </w:p>
        </w:tc>
      </w:tr>
    </w:tbl>
    <w:p/>
    <w:p>
      <w:pPr>
        <w:pStyle w:val="Heading2"/>
      </w:pPr>
      <w:r>
        <w:rPr>
          <w:color w:val="003366"/>
        </w:rPr>
        <w:t>NEXT STEPS</w:t>
      </w:r>
    </w:p>
    <w:p>
      <w:r>
        <w:t>1. Shortlist suppliers in India, China, Mexico</w:t>
      </w:r>
    </w:p>
    <w:p>
      <w:r>
        <w:t>2. Initiate 8–12 week pilot contracts</w:t>
      </w:r>
    </w:p>
    <w:p>
      <w:r>
        <w:t>3. Review pricing and delivery performance quarterly</w:t>
      </w:r>
    </w:p>
    <w:p>
      <w:r>
        <w:t>4. Reduce concentration further if pilots outperform</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