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RICE BRAN OIL DIVERSIFICATION</w:t>
      </w:r>
    </w:p>
    <w:p>
      <w:pPr>
        <w:jc w:val="center"/>
      </w:pPr>
      <w:r>
        <w:rPr>
          <w:i/>
          <w:sz w:val="22"/>
        </w:rPr>
        <w:t>Supplier Concentration Analysis &amp; Diversification Strategy</w:t>
      </w:r>
    </w:p>
    <w:p>
      <w:pPr>
        <w:jc w:val="center"/>
      </w:pPr>
      <w:r>
        <w:rPr>
          <w:b/>
          <w:sz w:val="24"/>
        </w:rPr>
        <w:t>Total Category Spend 2026: USD 5,148,600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Malaya Agri Oils</w:t>
            </w:r>
          </w:p>
        </w:tc>
      </w:tr>
      <w:tr>
        <w:tc>
          <w:tcPr>
            <w:tcW w:type="dxa" w:w="5040"/>
          </w:tcPr>
          <w:p>
            <w:r>
              <w:rPr>
                <w:sz w:val="20"/>
              </w:rPr>
              <w:t>Supplier Location</w:t>
            </w:r>
          </w:p>
        </w:tc>
        <w:tc>
          <w:tcPr>
            <w:tcW w:type="dxa" w:w="5040"/>
          </w:tcPr>
          <w:p>
            <w:r>
              <w:rPr>
                <w:sz w:val="20"/>
              </w:rPr>
              <w:t>Malaysia</w:t>
            </w:r>
          </w:p>
        </w:tc>
      </w:tr>
      <w:tr>
        <w:tc>
          <w:tcPr>
            <w:tcW w:type="dxa" w:w="5040"/>
          </w:tcPr>
          <w:p>
            <w:r>
              <w:rPr>
                <w:sz w:val="20"/>
              </w:rPr>
              <w:t>Spend Share</w:t>
            </w:r>
          </w:p>
        </w:tc>
        <w:tc>
          <w:tcPr>
            <w:tcW w:type="dxa" w:w="5040"/>
          </w:tcPr>
          <w:p>
            <w:r>
              <w:rPr>
                <w:sz w:val="20"/>
              </w:rPr>
              <w:t>42% = USD 2,140,200</w:t>
            </w:r>
          </w:p>
        </w:tc>
      </w:tr>
      <w:tr>
        <w:tc>
          <w:tcPr>
            <w:tcW w:type="dxa" w:w="5040"/>
          </w:tcPr>
          <w:p>
            <w:r>
              <w:rPr>
                <w:sz w:val="20"/>
              </w:rPr>
              <w:t>Current Rice Bran Oil Buying from Supplier</w:t>
            </w:r>
          </w:p>
        </w:tc>
        <w:tc>
          <w:tcPr>
            <w:tcW w:type="dxa" w:w="5040"/>
          </w:tcPr>
          <w:p>
            <w:r>
              <w:rPr>
                <w:sz w:val="20"/>
              </w:rPr>
              <w:t>Yes</w:t>
            </w:r>
          </w:p>
        </w:tc>
      </w:tr>
      <w:tr>
        <w:tc>
          <w:tcPr>
            <w:tcW w:type="dxa" w:w="5040"/>
          </w:tcPr>
          <w:p>
            <w:r>
              <w:rPr>
                <w:sz w:val="20"/>
              </w:rPr>
              <w:t>Alternate Supplier for Rice Bran Oil</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APAC with 4 suppliers</w:t>
            </w:r>
          </w:p>
        </w:tc>
      </w:tr>
    </w:tbl>
    <w:p/>
    <w:p>
      <w:pPr>
        <w:pStyle w:val="Heading3"/>
      </w:pPr>
      <w:r>
        <w:rPr>
          <w:color w:val="003366"/>
        </w:rPr>
        <w:t>OVERALL RISK STATEMENT</w:t>
      </w:r>
    </w:p>
    <w:p>
      <w:pPr>
        <w:spacing w:after="240"/>
      </w:pPr>
      <w:r>
        <w:t xml:space="preserve">Our current rice bran oil procurement involves 4 suppliers, with Malaya Agri Oils as the dominant supplier at 42% of total category spend (USD 2,140,200 of USD 5,148,600 in 2026). Other suppliers include: Borneo Nutrients (29%), Ricela Health Foods (20%), Thai Rice Oil Co (10%). All suppliers operate from Malaysia. We do not have alternate suppliers activated for this category.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Malaya Agri Oils</w:t>
            </w:r>
          </w:p>
        </w:tc>
        <w:tc>
          <w:tcPr>
            <w:tcW w:type="dxa" w:w="2520"/>
          </w:tcPr>
          <w:p>
            <w:r>
              <w:rPr>
                <w:sz w:val="20"/>
              </w:rPr>
              <w:t>42%</w:t>
            </w:r>
          </w:p>
        </w:tc>
        <w:tc>
          <w:tcPr>
            <w:tcW w:type="dxa" w:w="2520"/>
          </w:tcPr>
          <w:p>
            <w:r>
              <w:rPr>
                <w:sz w:val="20"/>
              </w:rPr>
              <w:t>40%</w:t>
            </w:r>
          </w:p>
        </w:tc>
        <w:tc>
          <w:tcPr>
            <w:tcW w:type="dxa" w:w="2520"/>
          </w:tcPr>
          <w:p>
            <w:r>
              <w:rPr>
                <w:sz w:val="20"/>
              </w:rPr>
              <w:t>42% -&gt; 40% = 3.8%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Southeast Asia Supply Corridor</w:t>
            </w:r>
          </w:p>
        </w:tc>
        <w:tc>
          <w:tcPr>
            <w:tcW w:type="dxa" w:w="2520"/>
          </w:tcPr>
          <w:p>
            <w:r>
              <w:rPr>
                <w:sz w:val="20"/>
              </w:rPr>
              <w:t>70%</w:t>
            </w:r>
          </w:p>
        </w:tc>
        <w:tc>
          <w:tcPr>
            <w:tcW w:type="dxa" w:w="2520"/>
          </w:tcPr>
          <w:p>
            <w:r>
              <w:rPr>
                <w:sz w:val="20"/>
              </w:rPr>
              <w:t>40-50%</w:t>
            </w:r>
          </w:p>
        </w:tc>
        <w:tc>
          <w:tcPr>
            <w:tcW w:type="dxa" w:w="2520"/>
          </w:tcPr>
          <w:p>
            <w:r>
              <w:rPr>
                <w:sz w:val="20"/>
              </w:rPr>
              <w:t>20-30%</w:t>
            </w:r>
          </w:p>
        </w:tc>
      </w:tr>
    </w:tbl>
    <w:p/>
    <w:p>
      <w:pPr>
        <w:pStyle w:val="Heading2"/>
      </w:pPr>
      <w:r>
        <w:rPr>
          <w:color w:val="003366"/>
        </w:rPr>
        <w:t>COST ADVANTAGE PROJECTION FROM ADDING NEW ALTERNATE SUPPLIER INTO RICE BRAN OIL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Indonesia</w:t>
            </w:r>
          </w:p>
        </w:tc>
        <w:tc>
          <w:tcPr>
            <w:tcW w:type="dxa" w:w="3360"/>
          </w:tcPr>
          <w:p>
            <w:r>
              <w:rPr>
                <w:sz w:val="20"/>
              </w:rPr>
              <w:t>High production capacity + efficient supply chains</w:t>
            </w:r>
          </w:p>
        </w:tc>
        <w:tc>
          <w:tcPr>
            <w:tcW w:type="dxa" w:w="3360"/>
          </w:tcPr>
          <w:p>
            <w:r>
              <w:rPr>
                <w:sz w:val="20"/>
              </w:rPr>
              <w:t>$61,783 – $154,458</w:t>
            </w:r>
          </w:p>
        </w:tc>
      </w:tr>
      <w:tr>
        <w:tc>
          <w:tcPr>
            <w:tcW w:type="dxa" w:w="3360"/>
          </w:tcPr>
          <w:p>
            <w:r>
              <w:rPr>
                <w:sz w:val="20"/>
              </w:rPr>
              <w:t>Vietnam</w:t>
            </w:r>
          </w:p>
        </w:tc>
        <w:tc>
          <w:tcPr>
            <w:tcW w:type="dxa" w:w="3360"/>
          </w:tcPr>
          <w:p>
            <w:r>
              <w:rPr>
                <w:sz w:val="20"/>
              </w:rPr>
              <w:t>Competitive labor costs + growing export infrastructure</w:t>
            </w:r>
          </w:p>
        </w:tc>
        <w:tc>
          <w:tcPr>
            <w:tcW w:type="dxa" w:w="3360"/>
          </w:tcPr>
          <w:p>
            <w:r>
              <w:rPr>
                <w:sz w:val="20"/>
              </w:rPr>
              <w:t>$61,783 – $154,458</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$123,566 – $308,916</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MEDIUM</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2.7/4.0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$123,566 – $308,916</w:t>
            </w:r>
          </w:p>
        </w:tc>
      </w:tr>
      <w:tr>
        <w:tc>
          <w:tcPr>
            <w:tcW w:type="dxa" w:w="5040"/>
          </w:tcPr>
          <w:p>
            <w:r>
              <w:rPr>
                <w:sz w:val="20"/>
              </w:rPr>
              <w:t>Risk Reduction Value</w:t>
            </w:r>
          </w:p>
        </w:tc>
        <w:tc>
          <w:tcPr>
            <w:tcW w:type="dxa" w:w="5040"/>
          </w:tcPr>
          <w:p>
            <w:r>
              <w:rPr>
                <w:sz w:val="20"/>
              </w:rPr>
              <w:t>$4,042</w:t>
            </w:r>
          </w:p>
        </w:tc>
      </w:tr>
      <w:tr>
        <w:tc>
          <w:tcPr>
            <w:tcW w:type="dxa" w:w="5040"/>
          </w:tcPr>
          <w:p>
            <w:r>
              <w:rPr>
                <w:sz w:val="20"/>
              </w:rPr>
              <w:t>Implementation Cost</w:t>
            </w:r>
          </w:p>
        </w:tc>
        <w:tc>
          <w:tcPr>
            <w:tcW w:type="dxa" w:w="5040"/>
          </w:tcPr>
          <w:p>
            <w:r>
              <w:rPr>
                <w:sz w:val="20"/>
              </w:rPr>
              <w:t>$102,972</w:t>
            </w:r>
          </w:p>
        </w:tc>
      </w:tr>
      <w:tr>
        <w:tc>
          <w:tcPr>
            <w:tcW w:type="dxa" w:w="5040"/>
          </w:tcPr>
          <w:p>
            <w:r>
              <w:rPr>
                <w:sz w:val="20"/>
              </w:rPr>
              <w:t>ROI (First Year)</w:t>
            </w:r>
          </w:p>
        </w:tc>
        <w:tc>
          <w:tcPr>
            <w:tcW w:type="dxa" w:w="5040"/>
          </w:tcPr>
          <w:p>
            <w:r>
              <w:rPr>
                <w:sz w:val="20"/>
              </w:rPr>
              <w:t>24% – 204%</w:t>
            </w:r>
          </w:p>
        </w:tc>
      </w:tr>
      <w:tr>
        <w:tc>
          <w:tcPr>
            <w:tcW w:type="dxa" w:w="5040"/>
          </w:tcPr>
          <w:p>
            <w:r>
              <w:rPr>
                <w:sz w:val="20"/>
              </w:rPr>
              <w:t>Payback Period</w:t>
            </w:r>
          </w:p>
        </w:tc>
        <w:tc>
          <w:tcPr>
            <w:tcW w:type="dxa" w:w="5040"/>
          </w:tcPr>
          <w:p>
            <w:r>
              <w:rPr>
                <w:sz w:val="20"/>
              </w:rPr>
              <w:t>9.7 – 3.9 months</w:t>
            </w:r>
          </w:p>
        </w:tc>
      </w:tr>
      <w:tr>
        <w:tc>
          <w:tcPr>
            <w:tcW w:type="dxa" w:w="5040"/>
          </w:tcPr>
          <w:p>
            <w:r>
              <w:rPr>
                <w:sz w:val="20"/>
              </w:rPr>
              <w:t>3-Year Net Benefit</w:t>
            </w:r>
          </w:p>
        </w:tc>
        <w:tc>
          <w:tcPr>
            <w:tcW w:type="dxa" w:w="5040"/>
          </w:tcPr>
          <w:p>
            <w:r>
              <w:rPr>
                <w:sz w:val="20"/>
              </w:rPr>
              <w:t>$279,851 – $835,901</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Malaya Agri Oils</w:t>
            </w:r>
          </w:p>
        </w:tc>
        <w:tc>
          <w:tcPr>
            <w:tcW w:type="dxa" w:w="2016"/>
          </w:tcPr>
          <w:p>
            <w:r>
              <w:rPr>
                <w:sz w:val="20"/>
              </w:rPr>
              <w:t>$2,140,200</w:t>
            </w:r>
          </w:p>
        </w:tc>
        <w:tc>
          <w:tcPr>
            <w:tcW w:type="dxa" w:w="2016"/>
          </w:tcPr>
          <w:p>
            <w:r>
              <w:rPr>
                <w:sz w:val="20"/>
              </w:rPr>
              <w:t>4.5/5.0</w:t>
            </w:r>
          </w:p>
        </w:tc>
        <w:tc>
          <w:tcPr>
            <w:tcW w:type="dxa" w:w="2016"/>
          </w:tcPr>
          <w:p>
            <w:r>
              <w:rPr>
                <w:sz w:val="20"/>
              </w:rPr>
              <w:t>86%</w:t>
            </w:r>
          </w:p>
        </w:tc>
        <w:tc>
          <w:tcPr>
            <w:tcW w:type="dxa" w:w="2016"/>
          </w:tcPr>
          <w:p>
            <w:r>
              <w:rPr>
                <w:sz w:val="20"/>
              </w:rPr>
              <w:t>8.0/10</w:t>
            </w:r>
          </w:p>
        </w:tc>
      </w:tr>
      <w:tr>
        <w:tc>
          <w:tcPr>
            <w:tcW w:type="dxa" w:w="2016"/>
          </w:tcPr>
          <w:p>
            <w:r>
              <w:rPr>
                <w:sz w:val="20"/>
              </w:rPr>
              <w:t>Borneo Nutrients</w:t>
            </w:r>
          </w:p>
        </w:tc>
        <w:tc>
          <w:tcPr>
            <w:tcW w:type="dxa" w:w="2016"/>
          </w:tcPr>
          <w:p>
            <w:r>
              <w:rPr>
                <w:sz w:val="20"/>
              </w:rPr>
              <w:t>$1,479,600</w:t>
            </w:r>
          </w:p>
        </w:tc>
        <w:tc>
          <w:tcPr>
            <w:tcW w:type="dxa" w:w="2016"/>
          </w:tcPr>
          <w:p>
            <w:r>
              <w:rPr>
                <w:sz w:val="20"/>
              </w:rPr>
              <w:t>4.2/5.0</w:t>
            </w:r>
          </w:p>
        </w:tc>
        <w:tc>
          <w:tcPr>
            <w:tcW w:type="dxa" w:w="2016"/>
          </w:tcPr>
          <w:p>
            <w:r>
              <w:rPr>
                <w:sz w:val="20"/>
              </w:rPr>
              <w:t>81%</w:t>
            </w:r>
          </w:p>
        </w:tc>
        <w:tc>
          <w:tcPr>
            <w:tcW w:type="dxa" w:w="2016"/>
          </w:tcPr>
          <w:p>
            <w:r>
              <w:rPr>
                <w:sz w:val="20"/>
              </w:rPr>
              <w:t>8.0/10</w:t>
            </w:r>
          </w:p>
        </w:tc>
      </w:tr>
      <w:tr>
        <w:tc>
          <w:tcPr>
            <w:tcW w:type="dxa" w:w="2016"/>
          </w:tcPr>
          <w:p>
            <w:r>
              <w:rPr>
                <w:sz w:val="20"/>
              </w:rPr>
              <w:t>Thai Rice Oil Co</w:t>
            </w:r>
          </w:p>
        </w:tc>
        <w:tc>
          <w:tcPr>
            <w:tcW w:type="dxa" w:w="2016"/>
          </w:tcPr>
          <w:p>
            <w:r>
              <w:rPr>
                <w:sz w:val="20"/>
              </w:rPr>
              <w:t>$524,400</w:t>
            </w:r>
          </w:p>
        </w:tc>
        <w:tc>
          <w:tcPr>
            <w:tcW w:type="dxa" w:w="2016"/>
          </w:tcPr>
          <w:p>
            <w:r>
              <w:rPr>
                <w:sz w:val="20"/>
              </w:rPr>
              <w:t>4.4/5.0</w:t>
            </w:r>
          </w:p>
        </w:tc>
        <w:tc>
          <w:tcPr>
            <w:tcW w:type="dxa" w:w="2016"/>
          </w:tcPr>
          <w:p>
            <w:r>
              <w:rPr>
                <w:sz w:val="20"/>
              </w:rPr>
              <w:t>90%</w:t>
            </w:r>
          </w:p>
        </w:tc>
        <w:tc>
          <w:tcPr>
            <w:tcW w:type="dxa" w:w="2016"/>
          </w:tcPr>
          <w:p>
            <w:r>
              <w:rPr>
                <w:sz w:val="20"/>
              </w:rPr>
              <w:t>8.0/10</w:t>
            </w:r>
          </w:p>
        </w:tc>
      </w:tr>
      <w:tr>
        <w:tc>
          <w:tcPr>
            <w:tcW w:type="dxa" w:w="2016"/>
          </w:tcPr>
          <w:p>
            <w:r>
              <w:rPr>
                <w:sz w:val="20"/>
              </w:rPr>
              <w:t>Ricela Health Foods</w:t>
            </w:r>
          </w:p>
        </w:tc>
        <w:tc>
          <w:tcPr>
            <w:tcW w:type="dxa" w:w="2016"/>
          </w:tcPr>
          <w:p>
            <w:r>
              <w:rPr>
                <w:sz w:val="20"/>
              </w:rPr>
              <w:t>$1,004,400</w:t>
            </w:r>
          </w:p>
        </w:tc>
        <w:tc>
          <w:tcPr>
            <w:tcW w:type="dxa" w:w="2016"/>
          </w:tcPr>
          <w:p>
            <w:r>
              <w:rPr>
                <w:sz w:val="20"/>
              </w:rPr>
              <w:t>4.2/5.0</w:t>
            </w:r>
          </w:p>
        </w:tc>
        <w:tc>
          <w:tcPr>
            <w:tcW w:type="dxa" w:w="2016"/>
          </w:tcPr>
          <w:p>
            <w:r>
              <w:rPr>
                <w:sz w:val="20"/>
              </w:rPr>
              <w:t>79%</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11</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69%</w:t>
            </w:r>
          </w:p>
        </w:tc>
      </w:tr>
    </w:tbl>
    <w:p/>
    <w:p>
      <w:r>
        <w:rPr>
          <w:b/>
        </w:rPr>
        <w:t>Violations Detected:</w:t>
      </w:r>
    </w:p>
    <w:p>
      <w:pPr>
        <w:pStyle w:val="ListBullet"/>
      </w:pPr>
      <w:r>
        <w:t>R001: Regional Concentration</w:t>
      </w:r>
    </w:p>
    <w:p>
      <w:pPr>
        <w:pStyle w:val="ListBullet"/>
      </w:pPr>
      <w:r>
        <w:t>R008: Delivery Performance</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42% to 40% in Phase 1</w:t>
      </w:r>
    </w:p>
    <w:p>
      <w:pPr>
        <w:pStyle w:val="ListBullet"/>
      </w:pPr>
      <w:r>
        <w:t>Activate diversified spend via new qualified suppliers</w:t>
      </w:r>
    </w:p>
    <w:p>
      <w:pPr>
        <w:pStyle w:val="ListBullet"/>
      </w:pPr>
      <w:r>
        <w:t>Improve pricing leverage through supplier competition</w:t>
      </w:r>
    </w:p>
    <w:p>
      <w:pPr>
        <w:pStyle w:val="ListBullet"/>
      </w:pPr>
      <w:r>
        <w:t>Reduce southeast asia supply corridor risk by ~20%</w:t>
      </w:r>
    </w:p>
    <w:p>
      <w:pPr>
        <w:pStyle w:val="ListBullet"/>
      </w:pPr>
      <w:r>
        <w:t>Achieve estimated annual cost advantage of USD 123,566-308,916 while improving supply continuity</w:t>
      </w:r>
    </w:p>
    <w:p/>
    <w:p>
      <w:pPr>
        <w:pStyle w:val="Heading2"/>
      </w:pPr>
      <w:r>
        <w:rPr>
          <w:color w:val="003366"/>
        </w:rPr>
        <w:t>WHY THIS MATTERS</w:t>
      </w:r>
    </w:p>
    <w:p>
      <w:r>
        <w:t>MARKET CONTEXT FOR RICE BRAN OIL:</w:t>
        <w:br/>
        <w:br/>
        <w:t xml:space="preserve">The Rice Bran Oil market presents opportunities for procurement optimization through strategic supplier diversification and regional rebalancing. </w:t>
        <w:br/>
        <w:br/>
        <w:t>Key market factors to consider:</w:t>
        <w:br/>
        <w:t>- Global supply chain resilience has become a critical priority</w:t>
        <w:br/>
        <w:t>- Regional concentration creates vulnerability to localized disruptions</w:t>
        <w:br/>
        <w:t>- Supplier competition typically yields 5-15% cost improvements</w:t>
        <w:br/>
        <w:t>- Multi-region sourcing provides logistics flexibility and risk mitigation</w:t>
        <w:br/>
        <w:br/>
        <w:t>For Rice Bran Oil, diversification strategies should balance cost optimization with quality requirements, delivery reliability, and risk management objectives.</w:t>
      </w:r>
    </w:p>
    <w:p/>
    <w:p>
      <w:pPr>
        <w:pStyle w:val="Heading2"/>
      </w:pPr>
      <w:r>
        <w:rPr>
          <w:color w:val="003366"/>
        </w:rPr>
        <w:t>BUSINESS JUSTIFICATION</w:t>
      </w:r>
    </w:p>
    <w:p>
      <w:r>
        <w:t>BUSINESS CASE JUSTIFICATION:</w:t>
        <w:br/>
        <w:br/>
        <w:t>1. FINANCIAL RETURN: The proposed diversification is projected to deliver $123,566 to $308,916 in annual cost savings, representing a 24%-204% ROI on the estimated $102,972 implementation investment.</w:t>
        <w:br/>
        <w:br/>
        <w:t>2. RISK MITIGATION: Current risk level is rated HIGH. Reducing concentration by 2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w:t>
        <w:br/>
        <w:br/>
        <w:t>SUPPLIER RISK (MODERATE): At 42% concentration, there is opportunity to further balance the supplier portfolio.</w:t>
        <w:br/>
        <w:br/>
        <w:t>GEOGRAPHIC RISK (HIGH): 70% of spend is concentrated in Malaysia, India, Thailand. This exposes the supply chain to regional disruptions including: natural disasters, political instability, trade policy changes, and logistics bottlenecks.</w:t>
        <w:br/>
        <w:br/>
      </w:r>
    </w:p>
    <w:p/>
    <w:p>
      <w:pPr>
        <w:pStyle w:val="Heading2"/>
      </w:pPr>
      <w:r>
        <w:rPr>
          <w:color w:val="003366"/>
        </w:rPr>
        <w:t>RECOMMENDATION RATIONALE</w:t>
      </w:r>
    </w:p>
    <w:p>
      <w:r>
        <w:t>BUSINESS CASE JUSTIFICATION:</w:t>
        <w:br/>
        <w:br/>
        <w:t>1. FINANCIAL RETURN: The proposed diversification is projected to deliver $123,566 to $308,916 in annual cost savings, representing a 24%-204% ROI on the estimated $102,972 implementation investment.</w:t>
        <w:br/>
        <w:br/>
        <w:t>2. RISK MITIGATION: Current risk level is rated HIGH. Reducing concentration by 2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Shortlist suppliers in Indonesia, Vietnam</w:t>
      </w:r>
    </w:p>
    <w:p>
      <w:r>
        <w:t>2. Initiate 8-12 week pilot contracts</w:t>
      </w:r>
    </w:p>
    <w:p>
      <w:r>
        <w:t>3. Review pricing and delivery performance quarterly</w:t>
      </w:r>
    </w:p>
    <w:p>
      <w:r>
        <w:t>4. Reduce concentration further if pilots outperform</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