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36C6A" w14:textId="77777777" w:rsidR="00EF5699" w:rsidRPr="00EF5699" w:rsidRDefault="00EF5699" w:rsidP="00EF5699">
      <w:pPr>
        <w:rPr>
          <w:b/>
          <w:bCs/>
        </w:rPr>
      </w:pPr>
      <w:r w:rsidRPr="00EF5699">
        <w:rPr>
          <w:b/>
          <w:bCs/>
        </w:rPr>
        <w:t>Architectural Analysis and Market Gap Breakdown for Next-Generation Form Builders</w:t>
      </w:r>
    </w:p>
    <w:p w14:paraId="6DD2F3B3" w14:textId="77777777" w:rsidR="00EF5699" w:rsidRPr="00EF5699" w:rsidRDefault="00EF5699" w:rsidP="00EF5699">
      <w:r w:rsidRPr="00EF5699">
        <w:t>The market for online form software has expanded from simple survey collection utilities into an essential layer of digital business operations, facilitating user onboarding, lead qualification, transaction processing, and internal workflow automation. Despite a saturated product landscape ranging from legacy enterprise productivity bundles like Google Forms to modern product-led growth platforms like Tally, Fillout, and Typeform, users consistently experience architectural bottlenecks, restrictive monetization strategies, layout rigidities, and data synchronization failures.   </w:t>
      </w:r>
    </w:p>
    <w:p w14:paraId="50DC0805" w14:textId="77777777" w:rsidR="00EF5699" w:rsidRPr="00EF5699" w:rsidRDefault="00EF5699" w:rsidP="00EF5699">
      <w:r w:rsidRPr="00EF5699">
        <w:t>Building a next-generation form builder requires a systematic analysis of existing tool architectures, an understanding of technical and commercial pain points, and a specification designed to resolve these limitations. This report evaluates the current software ecosystem, categorizes dominant tools, investigates structural platform limitations across five key operational vectors, explores high-order market dynamics, and provides a strategic engineering blueprint for a superior platform.   </w:t>
      </w:r>
    </w:p>
    <w:p w14:paraId="242C9A89" w14:textId="77777777" w:rsidR="00EF5699" w:rsidRPr="00EF5699" w:rsidRDefault="00EF5699" w:rsidP="00EF5699">
      <w:pPr>
        <w:rPr>
          <w:b/>
          <w:bCs/>
        </w:rPr>
      </w:pPr>
      <w:r w:rsidRPr="00EF5699">
        <w:rPr>
          <w:b/>
          <w:bCs/>
        </w:rPr>
        <w:t>Categorical Segmentation of Dominant Form Builders</w:t>
      </w:r>
    </w:p>
    <w:p w14:paraId="5E3130C4" w14:textId="77777777" w:rsidR="00EF5699" w:rsidRPr="00EF5699" w:rsidRDefault="00EF5699" w:rsidP="00EF5699">
      <w:r w:rsidRPr="00EF5699">
        <w:t>The form builder software industry can be divided into six distinct paradigms, each defined by its operational model, visual layout interface, target user persona, and underlying data structure.   </w:t>
      </w:r>
    </w:p>
    <w:p w14:paraId="2028B57C" w14:textId="77777777" w:rsidR="00EF5699" w:rsidRPr="00EF5699" w:rsidRDefault="00EF5699" w:rsidP="00EF5699">
      <w:pPr>
        <w:rPr>
          <w:b/>
          <w:bCs/>
        </w:rPr>
      </w:pPr>
      <w:r w:rsidRPr="00EF5699">
        <w:rPr>
          <w:b/>
          <w:bCs/>
        </w:rPr>
        <w:t>Document-Style Form Builders</w:t>
      </w:r>
    </w:p>
    <w:p w14:paraId="54C70733" w14:textId="77777777" w:rsidR="00EF5699" w:rsidRPr="00EF5699" w:rsidRDefault="00EF5699" w:rsidP="00EF5699">
      <w:r w:rsidRPr="00EF5699">
        <w:t>Document-style form builders, led by platforms like Tally Forms and Paperform, treat form design like writing a structured text document. Users interact with slash commands (/) to insert input fields, rich media, layout blocks, and interactive widgets inline. This model significantly lowers the cognitive barrier to creation by mirroring modern note-taking interfaces like Notion, making form generation fast and intuitive. Tally leverages this architectural model to offer a generous free tier featuring unlimited forms and submissions, monetizing primarily through advanced team features, white-labeling, and custom code injection. Paperform expands on this concept by integrating inline styling and media formatting to blur the line between standalone web forms and full-featured landing pages.   </w:t>
      </w:r>
    </w:p>
    <w:p w14:paraId="726C0F5C" w14:textId="77777777" w:rsidR="00EF5699" w:rsidRPr="00EF5699" w:rsidRDefault="00EF5699" w:rsidP="00EF5699">
      <w:pPr>
        <w:rPr>
          <w:b/>
          <w:bCs/>
        </w:rPr>
      </w:pPr>
      <w:r w:rsidRPr="00EF5699">
        <w:rPr>
          <w:b/>
          <w:bCs/>
        </w:rPr>
        <w:t>Conversational (One-Question-at-a-Time) Builders</w:t>
      </w:r>
    </w:p>
    <w:p w14:paraId="3696227A" w14:textId="77777777" w:rsidR="00EF5699" w:rsidRPr="00EF5699" w:rsidRDefault="00EF5699" w:rsidP="00EF5699">
      <w:r w:rsidRPr="00EF5699">
        <w:t>Pioneered by Typeform, conversational builders render inputs sequentially, presenting a single question per view with full-screen transitions to maximize user engagement and completion rates. While highly effective for consumer-facing lead generation and market research, this spatial constraint creates friction when applied to dense, multi-field workflows such as complex medical intakes, insurance applications, or detailed inventory orders. The high pricing tiers and strict response limits associated with hosted conversational tools have driven the growth of self-hosted or plugin-based alternatives, such as Fluent Forms, QuillForms, and Bit Form in the WordPress ecosystem, which deliver conversational layouts without recurring SaaS response throttles.   </w:t>
      </w:r>
    </w:p>
    <w:p w14:paraId="38B56515" w14:textId="77777777" w:rsidR="00EF5699" w:rsidRPr="00EF5699" w:rsidRDefault="00EF5699" w:rsidP="00EF5699">
      <w:pPr>
        <w:rPr>
          <w:b/>
          <w:bCs/>
        </w:rPr>
      </w:pPr>
      <w:r w:rsidRPr="00EF5699">
        <w:rPr>
          <w:b/>
          <w:bCs/>
        </w:rPr>
        <w:t>Enterprise Workflow and Calculation Engines</w:t>
      </w:r>
    </w:p>
    <w:p w14:paraId="21F3AA67" w14:textId="77777777" w:rsidR="00EF5699" w:rsidRPr="00EF5699" w:rsidRDefault="00EF5699" w:rsidP="00EF5699">
      <w:r w:rsidRPr="00EF5699">
        <w:t>Enterprise workflow and math-heavy form builders, such as Cognito Forms and Zoho Forms, prioritize backend logical execution, complex mathematical formulas, and multi-tier approval chains over consumer visual design. Cognito Forms excels at executing spreadsheet-grade calculations, dynamic repeating sections, relational data lookups, and cost-effective HIPAA compliance. Zoho Forms functions as an operational node within the broader Zoho SaaS ecosystem, offering deep native integrations with Zoho CRM, automated multi-level managerial approvals, offline mobile field data collection, and automated PDF contract generation.   </w:t>
      </w:r>
    </w:p>
    <w:p w14:paraId="1BDCE7BE" w14:textId="77777777" w:rsidR="00EF5699" w:rsidRPr="00EF5699" w:rsidRDefault="00EF5699" w:rsidP="00EF5699">
      <w:pPr>
        <w:rPr>
          <w:b/>
          <w:bCs/>
        </w:rPr>
      </w:pPr>
      <w:r w:rsidRPr="00EF5699">
        <w:rPr>
          <w:b/>
          <w:bCs/>
        </w:rPr>
        <w:lastRenderedPageBreak/>
        <w:t>Template-Rich and Widget Ecosystems</w:t>
      </w:r>
    </w:p>
    <w:p w14:paraId="04B331F4" w14:textId="77777777" w:rsidR="00EF5699" w:rsidRPr="00EF5699" w:rsidRDefault="00EF5699" w:rsidP="00EF5699">
      <w:r w:rsidRPr="00EF5699">
        <w:t>Jotform represents the broadest horizontal data collection platform, featuring a library of over 10,000 pre-built templates, more than 100 specialized field widgets, native e-signature collection, dynamic PDF builders, and lightweight app generation tools. Although Jotform provides immense functional utility across virtually every business domain, its extensive feature set results in a cluttered administrative interface, user experience complexities, and strict submission caps across lower pricing tiers.   </w:t>
      </w:r>
    </w:p>
    <w:p w14:paraId="69900D85" w14:textId="77777777" w:rsidR="00EF5699" w:rsidRPr="00EF5699" w:rsidRDefault="00EF5699" w:rsidP="00EF5699">
      <w:pPr>
        <w:rPr>
          <w:b/>
          <w:bCs/>
        </w:rPr>
      </w:pPr>
      <w:r w:rsidRPr="00EF5699">
        <w:rPr>
          <w:b/>
          <w:bCs/>
        </w:rPr>
        <w:t>Database-First Form Builders</w:t>
      </w:r>
    </w:p>
    <w:p w14:paraId="566383C7" w14:textId="77777777" w:rsidR="00EF5699" w:rsidRPr="00EF5699" w:rsidRDefault="00EF5699" w:rsidP="00EF5699">
      <w:r w:rsidRPr="00EF5699">
        <w:t>Fillout represents a paradigm shift toward database-driven architecture. Rather than treating form responses as isolated, one-way data payloads saved to a flat database table, Fillout acts as a dynamic frontend interface for external relational databases such as Airtable, Notion, and SmartSuite. It executes real-time dynamic schema reads prior to rendering the form, allowing respondents to update existing database records, pre-fill contextual fields, or dynamically query linked relational records.   </w:t>
      </w:r>
    </w:p>
    <w:p w14:paraId="42C348AD" w14:textId="77777777" w:rsidR="00EF5699" w:rsidRPr="00EF5699" w:rsidRDefault="00EF5699" w:rsidP="00EF5699">
      <w:pPr>
        <w:rPr>
          <w:b/>
          <w:bCs/>
        </w:rPr>
      </w:pPr>
      <w:r w:rsidRPr="00EF5699">
        <w:rPr>
          <w:b/>
          <w:bCs/>
        </w:rPr>
        <w:t>Baseline Free and Indie Form Builders</w:t>
      </w:r>
    </w:p>
    <w:p w14:paraId="58C7F774" w14:textId="77777777" w:rsidR="00EF5699" w:rsidRPr="00EF5699" w:rsidRDefault="00EF5699" w:rsidP="00EF5699">
      <w:r w:rsidRPr="00EF5699">
        <w:t>Google Forms serves as the baseline entry point for online data collection, offering zero-cost, unlimited response processing within the Google Workspace ecosystem. However, it is structurally constrained by basic styling, a limit of 11 core field types, no native payment gateways, and minimal branching logic. In response to the limitations of legacy tools, indie developers have created focused alternatives like AntForms, Youform, and Fomr. These tools emphasize generous or unlimited response tiers on free plans, guarding creators against sudden plan lockouts caused by traffic spikes.   </w:t>
      </w:r>
    </w:p>
    <w:tbl>
      <w:tblPr>
        <w:tblW w:w="11276" w:type="dxa"/>
        <w:tblCellSpacing w:w="15" w:type="dxa"/>
        <w:tblCellMar>
          <w:top w:w="15" w:type="dxa"/>
          <w:left w:w="15" w:type="dxa"/>
          <w:bottom w:w="15" w:type="dxa"/>
          <w:right w:w="15" w:type="dxa"/>
        </w:tblCellMar>
        <w:tblLook w:val="04A0" w:firstRow="1" w:lastRow="0" w:firstColumn="1" w:lastColumn="0" w:noHBand="0" w:noVBand="1"/>
      </w:tblPr>
      <w:tblGrid>
        <w:gridCol w:w="1846"/>
        <w:gridCol w:w="2179"/>
        <w:gridCol w:w="2231"/>
        <w:gridCol w:w="2326"/>
        <w:gridCol w:w="2694"/>
      </w:tblGrid>
      <w:tr w:rsidR="00EF5699" w:rsidRPr="00EF5699" w14:paraId="4B342981" w14:textId="77777777">
        <w:trPr>
          <w:tblHeader/>
          <w:tblCellSpacing w:w="15" w:type="dxa"/>
        </w:trPr>
        <w:tc>
          <w:tcPr>
            <w:tcW w:w="0" w:type="auto"/>
            <w:tcMar>
              <w:top w:w="120" w:type="dxa"/>
              <w:left w:w="180" w:type="dxa"/>
              <w:bottom w:w="120" w:type="dxa"/>
              <w:right w:w="180" w:type="dxa"/>
            </w:tcMar>
            <w:hideMark/>
          </w:tcPr>
          <w:p w14:paraId="0A6CF87B" w14:textId="77777777" w:rsidR="00EF5699" w:rsidRPr="00EF5699" w:rsidRDefault="00EF5699" w:rsidP="00EF5699">
            <w:pPr>
              <w:rPr>
                <w:b/>
                <w:bCs/>
              </w:rPr>
            </w:pPr>
            <w:r w:rsidRPr="00EF5699">
              <w:rPr>
                <w:b/>
                <w:bCs/>
              </w:rPr>
              <w:t>Software Category</w:t>
            </w:r>
          </w:p>
        </w:tc>
        <w:tc>
          <w:tcPr>
            <w:tcW w:w="0" w:type="auto"/>
            <w:tcMar>
              <w:top w:w="120" w:type="dxa"/>
              <w:left w:w="180" w:type="dxa"/>
              <w:bottom w:w="120" w:type="dxa"/>
              <w:right w:w="180" w:type="dxa"/>
            </w:tcMar>
            <w:hideMark/>
          </w:tcPr>
          <w:p w14:paraId="11854A46" w14:textId="77777777" w:rsidR="00EF5699" w:rsidRPr="00EF5699" w:rsidRDefault="00EF5699" w:rsidP="00EF5699">
            <w:pPr>
              <w:rPr>
                <w:b/>
                <w:bCs/>
              </w:rPr>
            </w:pPr>
            <w:r w:rsidRPr="00EF5699">
              <w:rPr>
                <w:b/>
                <w:bCs/>
              </w:rPr>
              <w:t>Representative Examples</w:t>
            </w:r>
          </w:p>
        </w:tc>
        <w:tc>
          <w:tcPr>
            <w:tcW w:w="0" w:type="auto"/>
            <w:tcMar>
              <w:top w:w="120" w:type="dxa"/>
              <w:left w:w="180" w:type="dxa"/>
              <w:bottom w:w="120" w:type="dxa"/>
              <w:right w:w="180" w:type="dxa"/>
            </w:tcMar>
            <w:hideMark/>
          </w:tcPr>
          <w:p w14:paraId="417F0CC3" w14:textId="77777777" w:rsidR="00EF5699" w:rsidRPr="00EF5699" w:rsidRDefault="00EF5699" w:rsidP="00EF5699">
            <w:pPr>
              <w:rPr>
                <w:b/>
                <w:bCs/>
              </w:rPr>
            </w:pPr>
            <w:r w:rsidRPr="00EF5699">
              <w:rPr>
                <w:b/>
                <w:bCs/>
              </w:rPr>
              <w:t>Core UX &amp; Layout Paradigm</w:t>
            </w:r>
          </w:p>
        </w:tc>
        <w:tc>
          <w:tcPr>
            <w:tcW w:w="0" w:type="auto"/>
            <w:tcMar>
              <w:top w:w="120" w:type="dxa"/>
              <w:left w:w="180" w:type="dxa"/>
              <w:bottom w:w="120" w:type="dxa"/>
              <w:right w:w="180" w:type="dxa"/>
            </w:tcMar>
            <w:hideMark/>
          </w:tcPr>
          <w:p w14:paraId="42196A8F" w14:textId="77777777" w:rsidR="00EF5699" w:rsidRPr="00EF5699" w:rsidRDefault="00EF5699" w:rsidP="00EF5699">
            <w:pPr>
              <w:rPr>
                <w:b/>
                <w:bCs/>
              </w:rPr>
            </w:pPr>
            <w:r w:rsidRPr="00EF5699">
              <w:rPr>
                <w:b/>
                <w:bCs/>
              </w:rPr>
              <w:t>Architectural Strengths</w:t>
            </w:r>
          </w:p>
        </w:tc>
        <w:tc>
          <w:tcPr>
            <w:tcW w:w="0" w:type="auto"/>
            <w:tcMar>
              <w:top w:w="120" w:type="dxa"/>
              <w:left w:w="180" w:type="dxa"/>
              <w:bottom w:w="120" w:type="dxa"/>
              <w:right w:w="180" w:type="dxa"/>
            </w:tcMar>
            <w:hideMark/>
          </w:tcPr>
          <w:p w14:paraId="6419C1FE" w14:textId="77777777" w:rsidR="00EF5699" w:rsidRPr="00EF5699" w:rsidRDefault="00EF5699" w:rsidP="00EF5699">
            <w:pPr>
              <w:rPr>
                <w:b/>
                <w:bCs/>
              </w:rPr>
            </w:pPr>
            <w:r w:rsidRPr="00EF5699">
              <w:rPr>
                <w:b/>
                <w:bCs/>
              </w:rPr>
              <w:t>Primary Limitations &amp; Friction Points</w:t>
            </w:r>
          </w:p>
        </w:tc>
      </w:tr>
      <w:tr w:rsidR="00EF5699" w:rsidRPr="00EF5699" w14:paraId="45F4D0F9" w14:textId="77777777">
        <w:trPr>
          <w:tblCellSpacing w:w="15" w:type="dxa"/>
        </w:trPr>
        <w:tc>
          <w:tcPr>
            <w:tcW w:w="0" w:type="auto"/>
            <w:tcMar>
              <w:top w:w="120" w:type="dxa"/>
              <w:left w:w="180" w:type="dxa"/>
              <w:bottom w:w="120" w:type="dxa"/>
              <w:right w:w="180" w:type="dxa"/>
            </w:tcMar>
            <w:hideMark/>
          </w:tcPr>
          <w:p w14:paraId="2B2919D9" w14:textId="77777777" w:rsidR="00EF5699" w:rsidRPr="00EF5699" w:rsidRDefault="00EF5699" w:rsidP="00EF5699">
            <w:r w:rsidRPr="00EF5699">
              <w:rPr>
                <w:b/>
                <w:bCs/>
              </w:rPr>
              <w:t>Document-Style</w:t>
            </w:r>
          </w:p>
        </w:tc>
        <w:tc>
          <w:tcPr>
            <w:tcW w:w="0" w:type="auto"/>
            <w:tcMar>
              <w:top w:w="120" w:type="dxa"/>
              <w:left w:w="180" w:type="dxa"/>
              <w:bottom w:w="120" w:type="dxa"/>
              <w:right w:w="180" w:type="dxa"/>
            </w:tcMar>
            <w:hideMark/>
          </w:tcPr>
          <w:p w14:paraId="62D16775" w14:textId="77777777" w:rsidR="00EF5699" w:rsidRPr="00EF5699" w:rsidRDefault="00EF5699" w:rsidP="00EF5699">
            <w:r w:rsidRPr="00EF5699">
              <w:t>Tally Forms, Paperform</w:t>
            </w:r>
          </w:p>
        </w:tc>
        <w:tc>
          <w:tcPr>
            <w:tcW w:w="0" w:type="auto"/>
            <w:tcMar>
              <w:top w:w="120" w:type="dxa"/>
              <w:left w:w="180" w:type="dxa"/>
              <w:bottom w:w="120" w:type="dxa"/>
              <w:right w:w="180" w:type="dxa"/>
            </w:tcMar>
            <w:hideMark/>
          </w:tcPr>
          <w:p w14:paraId="167AD43D" w14:textId="77777777" w:rsidR="00EF5699" w:rsidRPr="00EF5699" w:rsidRDefault="00EF5699" w:rsidP="00EF5699">
            <w:r w:rsidRPr="00EF5699">
              <w:t>Slash-command editor, block-based document writing</w:t>
            </w:r>
          </w:p>
        </w:tc>
        <w:tc>
          <w:tcPr>
            <w:tcW w:w="0" w:type="auto"/>
            <w:tcMar>
              <w:top w:w="120" w:type="dxa"/>
              <w:left w:w="180" w:type="dxa"/>
              <w:bottom w:w="120" w:type="dxa"/>
              <w:right w:w="180" w:type="dxa"/>
            </w:tcMar>
            <w:hideMark/>
          </w:tcPr>
          <w:p w14:paraId="012CEEBF" w14:textId="77777777" w:rsidR="00EF5699" w:rsidRPr="00EF5699" w:rsidRDefault="00EF5699" w:rsidP="00EF5699">
            <w:r w:rsidRPr="00EF5699">
              <w:t>Low cognitive load, flexible design, rapid creation</w:t>
            </w:r>
          </w:p>
        </w:tc>
        <w:tc>
          <w:tcPr>
            <w:tcW w:w="0" w:type="auto"/>
            <w:tcMar>
              <w:top w:w="120" w:type="dxa"/>
              <w:left w:w="180" w:type="dxa"/>
              <w:bottom w:w="120" w:type="dxa"/>
              <w:right w:w="180" w:type="dxa"/>
            </w:tcMar>
            <w:hideMark/>
          </w:tcPr>
          <w:p w14:paraId="33CFCCE9" w14:textId="77777777" w:rsidR="00EF5699" w:rsidRPr="00EF5699" w:rsidRDefault="00EF5699" w:rsidP="00EF5699">
            <w:r w:rsidRPr="00EF5699">
              <w:t>Limited deep enterprise approval logic and complex database schema mapping.</w:t>
            </w:r>
          </w:p>
        </w:tc>
      </w:tr>
      <w:tr w:rsidR="00EF5699" w:rsidRPr="00EF5699" w14:paraId="4E67DE34" w14:textId="77777777">
        <w:trPr>
          <w:tblCellSpacing w:w="15" w:type="dxa"/>
        </w:trPr>
        <w:tc>
          <w:tcPr>
            <w:tcW w:w="0" w:type="auto"/>
            <w:tcMar>
              <w:top w:w="120" w:type="dxa"/>
              <w:left w:w="180" w:type="dxa"/>
              <w:bottom w:w="120" w:type="dxa"/>
              <w:right w:w="180" w:type="dxa"/>
            </w:tcMar>
            <w:hideMark/>
          </w:tcPr>
          <w:p w14:paraId="5C01CCFD" w14:textId="77777777" w:rsidR="00EF5699" w:rsidRPr="00EF5699" w:rsidRDefault="00EF5699" w:rsidP="00EF5699">
            <w:r w:rsidRPr="00EF5699">
              <w:rPr>
                <w:b/>
                <w:bCs/>
              </w:rPr>
              <w:t>Conversational</w:t>
            </w:r>
          </w:p>
        </w:tc>
        <w:tc>
          <w:tcPr>
            <w:tcW w:w="0" w:type="auto"/>
            <w:tcMar>
              <w:top w:w="120" w:type="dxa"/>
              <w:left w:w="180" w:type="dxa"/>
              <w:bottom w:w="120" w:type="dxa"/>
              <w:right w:w="180" w:type="dxa"/>
            </w:tcMar>
            <w:hideMark/>
          </w:tcPr>
          <w:p w14:paraId="4C21F70D" w14:textId="77777777" w:rsidR="00EF5699" w:rsidRPr="00EF5699" w:rsidRDefault="00EF5699" w:rsidP="00EF5699">
            <w:r w:rsidRPr="00EF5699">
              <w:t>Typeform, Fluent Forms (Module), QuillForms</w:t>
            </w:r>
          </w:p>
        </w:tc>
        <w:tc>
          <w:tcPr>
            <w:tcW w:w="0" w:type="auto"/>
            <w:tcMar>
              <w:top w:w="120" w:type="dxa"/>
              <w:left w:w="180" w:type="dxa"/>
              <w:bottom w:w="120" w:type="dxa"/>
              <w:right w:w="180" w:type="dxa"/>
            </w:tcMar>
            <w:hideMark/>
          </w:tcPr>
          <w:p w14:paraId="4E0F9233" w14:textId="77777777" w:rsidR="00EF5699" w:rsidRPr="00EF5699" w:rsidRDefault="00EF5699" w:rsidP="00EF5699">
            <w:r w:rsidRPr="00EF5699">
              <w:t>Single question per view, smooth card transitions</w:t>
            </w:r>
          </w:p>
        </w:tc>
        <w:tc>
          <w:tcPr>
            <w:tcW w:w="0" w:type="auto"/>
            <w:tcMar>
              <w:top w:w="120" w:type="dxa"/>
              <w:left w:w="180" w:type="dxa"/>
              <w:bottom w:w="120" w:type="dxa"/>
              <w:right w:w="180" w:type="dxa"/>
            </w:tcMar>
            <w:hideMark/>
          </w:tcPr>
          <w:p w14:paraId="46689E9F" w14:textId="77777777" w:rsidR="00EF5699" w:rsidRPr="00EF5699" w:rsidRDefault="00EF5699" w:rsidP="00EF5699">
            <w:r w:rsidRPr="00EF5699">
              <w:t>High completion rates, polished micro-interactions</w:t>
            </w:r>
          </w:p>
        </w:tc>
        <w:tc>
          <w:tcPr>
            <w:tcW w:w="0" w:type="auto"/>
            <w:tcMar>
              <w:top w:w="120" w:type="dxa"/>
              <w:left w:w="180" w:type="dxa"/>
              <w:bottom w:w="120" w:type="dxa"/>
              <w:right w:w="180" w:type="dxa"/>
            </w:tcMar>
            <w:hideMark/>
          </w:tcPr>
          <w:p w14:paraId="369A0969" w14:textId="77777777" w:rsidR="00EF5699" w:rsidRPr="00EF5699" w:rsidRDefault="00EF5699" w:rsidP="00EF5699">
            <w:r w:rsidRPr="00EF5699">
              <w:t>Expensive scaling, rigid visual presentation, poor fit for high-density forms.</w:t>
            </w:r>
          </w:p>
        </w:tc>
      </w:tr>
      <w:tr w:rsidR="00EF5699" w:rsidRPr="00EF5699" w14:paraId="35BD6DEE" w14:textId="77777777">
        <w:trPr>
          <w:tblCellSpacing w:w="15" w:type="dxa"/>
        </w:trPr>
        <w:tc>
          <w:tcPr>
            <w:tcW w:w="0" w:type="auto"/>
            <w:tcMar>
              <w:top w:w="120" w:type="dxa"/>
              <w:left w:w="180" w:type="dxa"/>
              <w:bottom w:w="120" w:type="dxa"/>
              <w:right w:w="180" w:type="dxa"/>
            </w:tcMar>
            <w:hideMark/>
          </w:tcPr>
          <w:p w14:paraId="01C461A9" w14:textId="77777777" w:rsidR="00EF5699" w:rsidRPr="00EF5699" w:rsidRDefault="00EF5699" w:rsidP="00EF5699">
            <w:r w:rsidRPr="00EF5699">
              <w:rPr>
                <w:b/>
                <w:bCs/>
              </w:rPr>
              <w:t>Enterprise Workflow</w:t>
            </w:r>
          </w:p>
        </w:tc>
        <w:tc>
          <w:tcPr>
            <w:tcW w:w="0" w:type="auto"/>
            <w:tcMar>
              <w:top w:w="120" w:type="dxa"/>
              <w:left w:w="180" w:type="dxa"/>
              <w:bottom w:w="120" w:type="dxa"/>
              <w:right w:w="180" w:type="dxa"/>
            </w:tcMar>
            <w:hideMark/>
          </w:tcPr>
          <w:p w14:paraId="65E35208" w14:textId="77777777" w:rsidR="00EF5699" w:rsidRPr="00EF5699" w:rsidRDefault="00EF5699" w:rsidP="00EF5699">
            <w:r w:rsidRPr="00EF5699">
              <w:t>Cognito Forms, Zoho Forms</w:t>
            </w:r>
          </w:p>
        </w:tc>
        <w:tc>
          <w:tcPr>
            <w:tcW w:w="0" w:type="auto"/>
            <w:tcMar>
              <w:top w:w="120" w:type="dxa"/>
              <w:left w:w="180" w:type="dxa"/>
              <w:bottom w:w="120" w:type="dxa"/>
              <w:right w:w="180" w:type="dxa"/>
            </w:tcMar>
            <w:hideMark/>
          </w:tcPr>
          <w:p w14:paraId="5CCEDB3E" w14:textId="77777777" w:rsidR="00EF5699" w:rsidRPr="00EF5699" w:rsidRDefault="00EF5699" w:rsidP="00EF5699">
            <w:r w:rsidRPr="00EF5699">
              <w:t>Traditional field grid, feature-dense administration</w:t>
            </w:r>
          </w:p>
        </w:tc>
        <w:tc>
          <w:tcPr>
            <w:tcW w:w="0" w:type="auto"/>
            <w:tcMar>
              <w:top w:w="120" w:type="dxa"/>
              <w:left w:w="180" w:type="dxa"/>
              <w:bottom w:w="120" w:type="dxa"/>
              <w:right w:w="180" w:type="dxa"/>
            </w:tcMar>
            <w:hideMark/>
          </w:tcPr>
          <w:p w14:paraId="06BDBE4E" w14:textId="77777777" w:rsidR="00EF5699" w:rsidRPr="00EF5699" w:rsidRDefault="00EF5699" w:rsidP="00EF5699">
            <w:r w:rsidRPr="00EF5699">
              <w:t>Advanced math engines, repeating sections, approvals, cheap HIPAA</w:t>
            </w:r>
          </w:p>
        </w:tc>
        <w:tc>
          <w:tcPr>
            <w:tcW w:w="0" w:type="auto"/>
            <w:tcMar>
              <w:top w:w="120" w:type="dxa"/>
              <w:left w:w="180" w:type="dxa"/>
              <w:bottom w:w="120" w:type="dxa"/>
              <w:right w:w="180" w:type="dxa"/>
            </w:tcMar>
            <w:hideMark/>
          </w:tcPr>
          <w:p w14:paraId="383A7594" w14:textId="77777777" w:rsidR="00EF5699" w:rsidRPr="00EF5699" w:rsidRDefault="00EF5699" w:rsidP="00EF5699">
            <w:r w:rsidRPr="00EF5699">
              <w:t>Outdated UI aesthetics, steep learning curve, reliance on third-party automation tools.</w:t>
            </w:r>
          </w:p>
        </w:tc>
      </w:tr>
      <w:tr w:rsidR="00EF5699" w:rsidRPr="00EF5699" w14:paraId="3DFF188C" w14:textId="77777777">
        <w:trPr>
          <w:tblCellSpacing w:w="15" w:type="dxa"/>
        </w:trPr>
        <w:tc>
          <w:tcPr>
            <w:tcW w:w="0" w:type="auto"/>
            <w:tcMar>
              <w:top w:w="120" w:type="dxa"/>
              <w:left w:w="180" w:type="dxa"/>
              <w:bottom w:w="120" w:type="dxa"/>
              <w:right w:w="180" w:type="dxa"/>
            </w:tcMar>
            <w:hideMark/>
          </w:tcPr>
          <w:p w14:paraId="3F2F2205" w14:textId="77777777" w:rsidR="00EF5699" w:rsidRPr="00EF5699" w:rsidRDefault="00EF5699" w:rsidP="00EF5699">
            <w:r w:rsidRPr="00EF5699">
              <w:rPr>
                <w:b/>
                <w:bCs/>
              </w:rPr>
              <w:t>Widget Ecosystem</w:t>
            </w:r>
          </w:p>
        </w:tc>
        <w:tc>
          <w:tcPr>
            <w:tcW w:w="0" w:type="auto"/>
            <w:tcMar>
              <w:top w:w="120" w:type="dxa"/>
              <w:left w:w="180" w:type="dxa"/>
              <w:bottom w:w="120" w:type="dxa"/>
              <w:right w:w="180" w:type="dxa"/>
            </w:tcMar>
            <w:hideMark/>
          </w:tcPr>
          <w:p w14:paraId="0E38FC80" w14:textId="77777777" w:rsidR="00EF5699" w:rsidRPr="00EF5699" w:rsidRDefault="00EF5699" w:rsidP="00EF5699">
            <w:r w:rsidRPr="00EF5699">
              <w:t>Jotform</w:t>
            </w:r>
          </w:p>
        </w:tc>
        <w:tc>
          <w:tcPr>
            <w:tcW w:w="0" w:type="auto"/>
            <w:tcMar>
              <w:top w:w="120" w:type="dxa"/>
              <w:left w:w="180" w:type="dxa"/>
              <w:bottom w:w="120" w:type="dxa"/>
              <w:right w:w="180" w:type="dxa"/>
            </w:tcMar>
            <w:hideMark/>
          </w:tcPr>
          <w:p w14:paraId="3B3B7671" w14:textId="77777777" w:rsidR="00EF5699" w:rsidRPr="00EF5699" w:rsidRDefault="00EF5699" w:rsidP="00EF5699">
            <w:r w:rsidRPr="00EF5699">
              <w:t xml:space="preserve">Drag-and-drop canvas with </w:t>
            </w:r>
            <w:r w:rsidRPr="00EF5699">
              <w:lastRenderedPageBreak/>
              <w:t>extensive sidebar widgets</w:t>
            </w:r>
          </w:p>
        </w:tc>
        <w:tc>
          <w:tcPr>
            <w:tcW w:w="0" w:type="auto"/>
            <w:tcMar>
              <w:top w:w="120" w:type="dxa"/>
              <w:left w:w="180" w:type="dxa"/>
              <w:bottom w:w="120" w:type="dxa"/>
              <w:right w:w="180" w:type="dxa"/>
            </w:tcMar>
            <w:hideMark/>
          </w:tcPr>
          <w:p w14:paraId="733BB2E0" w14:textId="77777777" w:rsidR="00EF5699" w:rsidRPr="00EF5699" w:rsidRDefault="00EF5699" w:rsidP="00EF5699">
            <w:r w:rsidRPr="00EF5699">
              <w:lastRenderedPageBreak/>
              <w:t xml:space="preserve">Massive template library, 40+ payment </w:t>
            </w:r>
            <w:r w:rsidRPr="00EF5699">
              <w:lastRenderedPageBreak/>
              <w:t>gateways, native PDF suite</w:t>
            </w:r>
          </w:p>
        </w:tc>
        <w:tc>
          <w:tcPr>
            <w:tcW w:w="0" w:type="auto"/>
            <w:tcMar>
              <w:top w:w="120" w:type="dxa"/>
              <w:left w:w="180" w:type="dxa"/>
              <w:bottom w:w="120" w:type="dxa"/>
              <w:right w:w="180" w:type="dxa"/>
            </w:tcMar>
            <w:hideMark/>
          </w:tcPr>
          <w:p w14:paraId="544A35CF" w14:textId="77777777" w:rsidR="00EF5699" w:rsidRPr="00EF5699" w:rsidRDefault="00EF5699" w:rsidP="00EF5699">
            <w:r w:rsidRPr="00EF5699">
              <w:lastRenderedPageBreak/>
              <w:t xml:space="preserve">Cluttered administration interface, data sync </w:t>
            </w:r>
            <w:r w:rsidRPr="00EF5699">
              <w:lastRenderedPageBreak/>
              <w:t>latency, strict submission limits.</w:t>
            </w:r>
          </w:p>
        </w:tc>
      </w:tr>
      <w:tr w:rsidR="00EF5699" w:rsidRPr="00EF5699" w14:paraId="102889FC" w14:textId="77777777">
        <w:trPr>
          <w:tblCellSpacing w:w="15" w:type="dxa"/>
        </w:trPr>
        <w:tc>
          <w:tcPr>
            <w:tcW w:w="0" w:type="auto"/>
            <w:tcMar>
              <w:top w:w="120" w:type="dxa"/>
              <w:left w:w="180" w:type="dxa"/>
              <w:bottom w:w="120" w:type="dxa"/>
              <w:right w:w="180" w:type="dxa"/>
            </w:tcMar>
            <w:hideMark/>
          </w:tcPr>
          <w:p w14:paraId="7E5D7E3C" w14:textId="77777777" w:rsidR="00EF5699" w:rsidRPr="00EF5699" w:rsidRDefault="00EF5699" w:rsidP="00EF5699">
            <w:r w:rsidRPr="00EF5699">
              <w:rPr>
                <w:b/>
                <w:bCs/>
              </w:rPr>
              <w:lastRenderedPageBreak/>
              <w:t>Database-First</w:t>
            </w:r>
          </w:p>
        </w:tc>
        <w:tc>
          <w:tcPr>
            <w:tcW w:w="0" w:type="auto"/>
            <w:tcMar>
              <w:top w:w="120" w:type="dxa"/>
              <w:left w:w="180" w:type="dxa"/>
              <w:bottom w:w="120" w:type="dxa"/>
              <w:right w:w="180" w:type="dxa"/>
            </w:tcMar>
            <w:hideMark/>
          </w:tcPr>
          <w:p w14:paraId="63C0B9A8" w14:textId="77777777" w:rsidR="00EF5699" w:rsidRPr="00EF5699" w:rsidRDefault="00EF5699" w:rsidP="00EF5699">
            <w:r w:rsidRPr="00EF5699">
              <w:t>Fillout, miniExtensions</w:t>
            </w:r>
          </w:p>
        </w:tc>
        <w:tc>
          <w:tcPr>
            <w:tcW w:w="0" w:type="auto"/>
            <w:tcMar>
              <w:top w:w="120" w:type="dxa"/>
              <w:left w:w="180" w:type="dxa"/>
              <w:bottom w:w="120" w:type="dxa"/>
              <w:right w:w="180" w:type="dxa"/>
            </w:tcMar>
            <w:hideMark/>
          </w:tcPr>
          <w:p w14:paraId="739F5797" w14:textId="77777777" w:rsidR="00EF5699" w:rsidRPr="00EF5699" w:rsidRDefault="00EF5699" w:rsidP="00EF5699">
            <w:r w:rsidRPr="00EF5699">
              <w:t>Dynamic schema mapper and logic builder</w:t>
            </w:r>
          </w:p>
        </w:tc>
        <w:tc>
          <w:tcPr>
            <w:tcW w:w="0" w:type="auto"/>
            <w:tcMar>
              <w:top w:w="120" w:type="dxa"/>
              <w:left w:w="180" w:type="dxa"/>
              <w:bottom w:w="120" w:type="dxa"/>
              <w:right w:w="180" w:type="dxa"/>
            </w:tcMar>
            <w:hideMark/>
          </w:tcPr>
          <w:p w14:paraId="42F03BD5" w14:textId="77777777" w:rsidR="00EF5699" w:rsidRPr="00EF5699" w:rsidRDefault="00EF5699" w:rsidP="00EF5699">
            <w:r w:rsidRPr="00EF5699">
              <w:t>Bi-directional database sync, real-time lookups, dynamic pre-fill</w:t>
            </w:r>
          </w:p>
        </w:tc>
        <w:tc>
          <w:tcPr>
            <w:tcW w:w="0" w:type="auto"/>
            <w:tcMar>
              <w:top w:w="120" w:type="dxa"/>
              <w:left w:w="180" w:type="dxa"/>
              <w:bottom w:w="120" w:type="dxa"/>
              <w:right w:w="180" w:type="dxa"/>
            </w:tcMar>
            <w:hideMark/>
          </w:tcPr>
          <w:p w14:paraId="15343D83" w14:textId="77777777" w:rsidR="00EF5699" w:rsidRPr="00EF5699" w:rsidRDefault="00EF5699" w:rsidP="00EF5699">
            <w:r w:rsidRPr="00EF5699">
              <w:t>Styling constraints, dynamic logic complexity, tier pricing gaps.</w:t>
            </w:r>
          </w:p>
        </w:tc>
      </w:tr>
      <w:tr w:rsidR="00EF5699" w:rsidRPr="00EF5699" w14:paraId="22ED8077" w14:textId="77777777">
        <w:trPr>
          <w:tblCellSpacing w:w="15" w:type="dxa"/>
        </w:trPr>
        <w:tc>
          <w:tcPr>
            <w:tcW w:w="0" w:type="auto"/>
            <w:tcMar>
              <w:top w:w="120" w:type="dxa"/>
              <w:left w:w="180" w:type="dxa"/>
              <w:bottom w:w="120" w:type="dxa"/>
              <w:right w:w="180" w:type="dxa"/>
            </w:tcMar>
            <w:hideMark/>
          </w:tcPr>
          <w:p w14:paraId="7E422F48" w14:textId="77777777" w:rsidR="00EF5699" w:rsidRPr="00EF5699" w:rsidRDefault="00EF5699" w:rsidP="00EF5699">
            <w:r w:rsidRPr="00EF5699">
              <w:rPr>
                <w:b/>
                <w:bCs/>
              </w:rPr>
              <w:t>Baseline &amp; Indie</w:t>
            </w:r>
          </w:p>
        </w:tc>
        <w:tc>
          <w:tcPr>
            <w:tcW w:w="0" w:type="auto"/>
            <w:tcMar>
              <w:top w:w="120" w:type="dxa"/>
              <w:left w:w="180" w:type="dxa"/>
              <w:bottom w:w="120" w:type="dxa"/>
              <w:right w:w="180" w:type="dxa"/>
            </w:tcMar>
            <w:hideMark/>
          </w:tcPr>
          <w:p w14:paraId="4C1CD9D6" w14:textId="77777777" w:rsidR="00EF5699" w:rsidRPr="00EF5699" w:rsidRDefault="00EF5699" w:rsidP="00EF5699">
            <w:r w:rsidRPr="00EF5699">
              <w:t>Google Forms, AntForms, Youform, Fomr</w:t>
            </w:r>
          </w:p>
        </w:tc>
        <w:tc>
          <w:tcPr>
            <w:tcW w:w="0" w:type="auto"/>
            <w:tcMar>
              <w:top w:w="120" w:type="dxa"/>
              <w:left w:w="180" w:type="dxa"/>
              <w:bottom w:w="120" w:type="dxa"/>
              <w:right w:w="180" w:type="dxa"/>
            </w:tcMar>
            <w:hideMark/>
          </w:tcPr>
          <w:p w14:paraId="09DDCA2D" w14:textId="77777777" w:rsidR="00EF5699" w:rsidRPr="00EF5699" w:rsidRDefault="00EF5699" w:rsidP="00EF5699">
            <w:r w:rsidRPr="00EF5699">
              <w:t>Standard linear form list or AI-assisted prompt builder</w:t>
            </w:r>
          </w:p>
        </w:tc>
        <w:tc>
          <w:tcPr>
            <w:tcW w:w="0" w:type="auto"/>
            <w:tcMar>
              <w:top w:w="120" w:type="dxa"/>
              <w:left w:w="180" w:type="dxa"/>
              <w:bottom w:w="120" w:type="dxa"/>
              <w:right w:w="180" w:type="dxa"/>
            </w:tcMar>
            <w:hideMark/>
          </w:tcPr>
          <w:p w14:paraId="1CA1D540" w14:textId="77777777" w:rsidR="00EF5699" w:rsidRPr="00EF5699" w:rsidRDefault="00EF5699" w:rsidP="00EF5699">
            <w:r w:rsidRPr="00EF5699">
              <w:t>Zero-cost unlimited scaling, simple setup, minimal maintenance</w:t>
            </w:r>
          </w:p>
        </w:tc>
        <w:tc>
          <w:tcPr>
            <w:tcW w:w="0" w:type="auto"/>
            <w:tcMar>
              <w:top w:w="120" w:type="dxa"/>
              <w:left w:w="180" w:type="dxa"/>
              <w:bottom w:w="120" w:type="dxa"/>
              <w:right w:w="180" w:type="dxa"/>
            </w:tcMar>
            <w:hideMark/>
          </w:tcPr>
          <w:p w14:paraId="077EB4DF" w14:textId="77777777" w:rsidR="00EF5699" w:rsidRPr="00EF5699" w:rsidRDefault="00EF5699" w:rsidP="00EF5699">
            <w:r w:rsidRPr="00EF5699">
              <w:t>Lacks advanced field types, missing enterprise security certifications, basic logic.</w:t>
            </w:r>
          </w:p>
        </w:tc>
      </w:tr>
    </w:tbl>
    <w:p w14:paraId="0C662A94" w14:textId="77777777" w:rsidR="00EF5699" w:rsidRPr="00EF5699" w:rsidRDefault="00EF5699" w:rsidP="00EF5699">
      <w:r w:rsidRPr="00EF5699">
        <w:t>  </w:t>
      </w:r>
    </w:p>
    <w:p w14:paraId="467C1EF8" w14:textId="77777777" w:rsidR="00EF5699" w:rsidRPr="00EF5699" w:rsidRDefault="00EF5699" w:rsidP="00EF5699">
      <w:pPr>
        <w:rPr>
          <w:b/>
          <w:bCs/>
        </w:rPr>
      </w:pPr>
      <w:r w:rsidRPr="00EF5699">
        <w:rPr>
          <w:b/>
          <w:bCs/>
        </w:rPr>
        <w:t>Analysis of Architectural and Business Model Limitations</w:t>
      </w:r>
    </w:p>
    <w:p w14:paraId="22BCFA92" w14:textId="77777777" w:rsidR="00EF5699" w:rsidRPr="00EF5699" w:rsidRDefault="00EF5699" w:rsidP="00EF5699">
      <w:r w:rsidRPr="00EF5699">
        <w:t>A detailed examination of software review platforms, user discussions, and developer communities highlights consistent complaints regarding traditional form builders. These pain points span five primary technical and operational dimensions.   </w:t>
      </w:r>
    </w:p>
    <w:p w14:paraId="46E56AC9" w14:textId="77777777" w:rsidR="00EF5699" w:rsidRPr="00EF5699" w:rsidRDefault="00EF5699" w:rsidP="00EF5699">
      <w:pPr>
        <w:rPr>
          <w:b/>
          <w:bCs/>
        </w:rPr>
      </w:pPr>
      <w:r w:rsidRPr="00EF5699">
        <w:rPr>
          <w:b/>
          <w:bCs/>
        </w:rPr>
        <w:t>Monetization Topography and Response Metering Constraints</w:t>
      </w:r>
    </w:p>
    <w:p w14:paraId="6A3E8040" w14:textId="77777777" w:rsidR="00EF5699" w:rsidRPr="00EF5699" w:rsidRDefault="00EF5699" w:rsidP="00EF5699">
      <w:r w:rsidRPr="00EF5699">
        <w:t>The most common source of user dissatisfaction stems from submission throttling and aggressive tier-based paywalls. Traditional SaaS vendors meter accounts primarily based on submission volume rather than compute resource usage. Typeform restricts free tier accounts to 10 responses per month, requiring paid subscriptions starting at $29 per month for 100 responses and reaching $83 per month for 10,000 responses. Jotform limits free tier accounts to 100 monthly submissions across 5 active forms, charging $34 per month for up to 1,000 submissions. When a marketing campaign, waitlist, or event registration experiences unexpected traffic, forms lock up immediately, halting lead collection or forcing emergency manual upgrades.   </w:t>
      </w:r>
    </w:p>
    <w:p w14:paraId="7ACB1247" w14:textId="77777777" w:rsidR="00EF5699" w:rsidRPr="00EF5699" w:rsidRDefault="00EF5699" w:rsidP="00EF5699">
      <w:r w:rsidRPr="00EF5699">
        <w:t>Beyond submission caps, platforms gate essential trust-building features behind high-tier plans. Removing vendor branding badges (such as "Powered by Typeform", "Fillout", or "AntForms"), configuring custom favicons, and hosting forms on custom subdomains require mid-to-high plan tiers. Additionally, software vendors frequently bundle submission upgrades with mandatory user seat purchases, forcing small organizations needing multi-user collaboration to buy enterprise plans simply to access basic role-based access controls.   </w:t>
      </w:r>
    </w:p>
    <w:p w14:paraId="5B8937BC" w14:textId="77777777" w:rsidR="00EF5699" w:rsidRPr="00EF5699" w:rsidRDefault="00EF5699" w:rsidP="00EF5699">
      <w:pPr>
        <w:rPr>
          <w:b/>
          <w:bCs/>
        </w:rPr>
      </w:pPr>
      <w:r w:rsidRPr="00EF5699">
        <w:rPr>
          <w:b/>
          <w:bCs/>
        </w:rPr>
        <w:t>Visual Customization, iFrame Embedding, and Mobile Responsiveness Deficits</w:t>
      </w:r>
    </w:p>
    <w:p w14:paraId="3A2C1092" w14:textId="77777777" w:rsidR="00EF5699" w:rsidRPr="00EF5699" w:rsidRDefault="00EF5699" w:rsidP="00EF5699">
      <w:r w:rsidRPr="00EF5699">
        <w:t xml:space="preserve">Embedding forms into modern web applications remains a point of technical friction for web developers and designers. Hosted SaaS builders rely primarily on &lt;iframe&gt; tags to embed forms on external sites. This approach creates an isolated Document Object Model (DOM) tree, preventing the form from inheriting the host application's CSS variables, global font choices, dark-mode styling, or </w:t>
      </w:r>
      <w:r w:rsidRPr="00EF5699">
        <w:lastRenderedPageBreak/>
        <w:t>responsive container boundaries. Custom styling often requires clunky CSS overrides that break during vendor framework updates.   </w:t>
      </w:r>
    </w:p>
    <w:p w14:paraId="478492BF" w14:textId="77777777" w:rsidR="00EF5699" w:rsidRPr="00EF5699" w:rsidRDefault="00EF5699" w:rsidP="00EF5699">
      <w:r w:rsidRPr="00EF5699">
        <w:t>Mobile viewport responsiveness creates additional display issues. While standard single-column forms collapse cleanly on mobile devices, multi-column inputs, matrix tables, repeating sections, and custom widgets frequently break on smaller screens, generating awkward horizontal scrollbars, obscured field labels, and unresponsive submit buttons. Furthermore, software vendors force users into rigid spatial layouts. Typeform forces a strict one-question-at-a-time flow, which increases drop-off on long, multi-field forms. Google Forms forces a basic vertical stack. Very few tools allow creators to dynamically switch between document block layouts, card sequences, multi-step accordions, and embedded inline forms on top of a single data schema.   </w:t>
      </w:r>
    </w:p>
    <w:p w14:paraId="43FE7DD5" w14:textId="77777777" w:rsidR="00EF5699" w:rsidRPr="00EF5699" w:rsidRDefault="00EF5699" w:rsidP="00EF5699">
      <w:pPr>
        <w:rPr>
          <w:b/>
          <w:bCs/>
        </w:rPr>
      </w:pPr>
      <w:r w:rsidRPr="00EF5699">
        <w:rPr>
          <w:b/>
          <w:bCs/>
        </w:rPr>
        <w:t>Data Integration Architecture and Synchronization Vulnerabilities</w:t>
      </w:r>
    </w:p>
    <w:p w14:paraId="152E230E" w14:textId="77777777" w:rsidR="00EF5699" w:rsidRPr="00EF5699" w:rsidRDefault="00EF5699" w:rsidP="00EF5699">
      <w:r w:rsidRPr="00EF5699">
        <w:t>The structural data layer in traditional form tools remains predominantly one-directional. Tools like Google Forms, WPForms, and basic Typeform setups write incoming payloads into flat storage tables or simple spreadsheet rows without performing real-time verification against external database states.   </w:t>
      </w:r>
    </w:p>
    <w:p w14:paraId="26039F49" w14:textId="77777777" w:rsidR="00EF5699" w:rsidRPr="00EF5699" w:rsidRDefault="00EF5699" w:rsidP="00EF5699">
      <w:r w:rsidRPr="00EF5699">
        <w:t>Modern operational workflows require bi-directional state synchronization. Organizations often need to verify real-time inventory counts in a database before rendering option selections, or look up an existing customer ID using an email address to pre-fill profile data dynamically. While Fillout offers strong Airtable and Notion integration capabilities, most form builders lack native bi-directional synchronization, relying instead on third-party middleware like Zapier or Make. This middleware layer introduces sync delays, added subscription costs, and potential data loss during high-volume spikes.   </w:t>
      </w:r>
    </w:p>
    <w:p w14:paraId="74028D22" w14:textId="77777777" w:rsidR="00EF5699" w:rsidRPr="00EF5699" w:rsidRDefault="00EF5699" w:rsidP="00EF5699">
      <w:pPr>
        <w:rPr>
          <w:b/>
          <w:bCs/>
        </w:rPr>
      </w:pPr>
      <w:r w:rsidRPr="00EF5699">
        <w:rPr>
          <w:b/>
          <w:bCs/>
        </w:rPr>
        <w:t>Logic Engine Bottlenecks: Shallow Logic versus Complex Formula Engines</w:t>
      </w:r>
    </w:p>
    <w:p w14:paraId="20ED347C" w14:textId="77777777" w:rsidR="00EF5699" w:rsidRPr="00EF5699" w:rsidRDefault="00EF5699" w:rsidP="00EF5699">
      <w:r w:rsidRPr="00EF5699">
        <w:t>Conditional logic capabilities across the form builder landscape tend to fall into two extreme categories. Basic form builders like Google Forms, Typeform, and standard WordPress plugins restrict conditional logic to simple show/hide rules or page jumps. They cannot handle multi-variable conditional logic, nested AND/OR logic groups, regex string validation, or dynamic math variables within the question flow.   </w:t>
      </w:r>
    </w:p>
    <w:p w14:paraId="47033883" w14:textId="77777777" w:rsidR="00EF5699" w:rsidRPr="00EF5699" w:rsidRDefault="00EF5699" w:rsidP="00EF5699">
      <w:r w:rsidRPr="00EF5699">
        <w:t>Conversely, advanced platforms like Cognito Forms and Formidable Forms provide complex calculation capabilities, but rely on dense, spreadsheet-style syntax that non-technical users find difficult to configure. Implementing dynamic pricing engines or multi-variable quote calculators often requires extensive trial and error without visual debugging feedback. Furthermore, handling nested array data—such as adding dynamic expense line items or multiple event registrants—frequently results in clunky user interfaces or complex data outputs.   </w:t>
      </w:r>
    </w:p>
    <w:p w14:paraId="619BCDA8" w14:textId="77777777" w:rsidR="00EF5699" w:rsidRPr="00EF5699" w:rsidRDefault="00EF5699" w:rsidP="00EF5699">
      <w:pPr>
        <w:rPr>
          <w:b/>
          <w:bCs/>
        </w:rPr>
      </w:pPr>
      <w:r w:rsidRPr="00EF5699">
        <w:rPr>
          <w:b/>
          <w:bCs/>
        </w:rPr>
        <w:t>Enterprise Governance, Compliance, and Workflow Constraints</w:t>
      </w:r>
    </w:p>
    <w:p w14:paraId="312D9E98" w14:textId="77777777" w:rsidR="00EF5699" w:rsidRPr="00EF5699" w:rsidRDefault="00EF5699" w:rsidP="00EF5699">
      <w:r w:rsidRPr="00EF5699">
        <w:t>For organizations operating in regulated markets or enterprise environments, existing form engines enforce steep pricing barriers. Regulatory compliance standards like HIPAA (which requires a signed Business Associate Agreement) are typically restricted to expensive enterprise tiers. Jotform requires its Gold plan at $99 per month billed annually, Zoho Forms limits HIPAA compliance to its $90 per month Premium plan, and Formstack charges $83 to $208+ per month. While Cognito Forms offers HIPAA compliance on lower-tier plans starting at $19 per month, it lacks broader enterprise features like native Single Sign-On (SSO) or granular role-based workspace permissions.   </w:t>
      </w:r>
    </w:p>
    <w:p w14:paraId="3E29EAA9" w14:textId="77777777" w:rsidR="00EF5699" w:rsidRPr="00EF5699" w:rsidRDefault="00EF5699" w:rsidP="00EF5699">
      <w:r w:rsidRPr="00EF5699">
        <w:lastRenderedPageBreak/>
        <w:t>Additionally, form tools often lack native approval workflows, which are essential for processing purchase requisitions, leave requests, and formal applications. Multi-level approval chains require higher-tier plans, such as Zoho Forms' Standard plan starting at $30 per month. Finally, standard form builders discard respondent entries if a user abandons the form before clicking "Submit". Because web forms experience high drop-off rates, failing to capture partial inputs prevents organizations from recovering high-intent leads who entered contact details but abandoned long forms midway through.   </w:t>
      </w:r>
    </w:p>
    <w:tbl>
      <w:tblPr>
        <w:tblW w:w="11276" w:type="dxa"/>
        <w:tblCellSpacing w:w="15" w:type="dxa"/>
        <w:tblCellMar>
          <w:top w:w="15" w:type="dxa"/>
          <w:left w:w="15" w:type="dxa"/>
          <w:bottom w:w="15" w:type="dxa"/>
          <w:right w:w="15" w:type="dxa"/>
        </w:tblCellMar>
        <w:tblLook w:val="04A0" w:firstRow="1" w:lastRow="0" w:firstColumn="1" w:lastColumn="0" w:noHBand="0" w:noVBand="1"/>
      </w:tblPr>
      <w:tblGrid>
        <w:gridCol w:w="1344"/>
        <w:gridCol w:w="1849"/>
        <w:gridCol w:w="1836"/>
        <w:gridCol w:w="1782"/>
        <w:gridCol w:w="2233"/>
        <w:gridCol w:w="2232"/>
      </w:tblGrid>
      <w:tr w:rsidR="00EF5699" w:rsidRPr="00EF5699" w14:paraId="3D27B0FC" w14:textId="77777777">
        <w:trPr>
          <w:tblHeader/>
          <w:tblCellSpacing w:w="15" w:type="dxa"/>
        </w:trPr>
        <w:tc>
          <w:tcPr>
            <w:tcW w:w="0" w:type="auto"/>
            <w:tcMar>
              <w:top w:w="120" w:type="dxa"/>
              <w:left w:w="180" w:type="dxa"/>
              <w:bottom w:w="120" w:type="dxa"/>
              <w:right w:w="180" w:type="dxa"/>
            </w:tcMar>
            <w:hideMark/>
          </w:tcPr>
          <w:p w14:paraId="691C2D22" w14:textId="77777777" w:rsidR="00EF5699" w:rsidRPr="00EF5699" w:rsidRDefault="00EF5699" w:rsidP="00EF5699">
            <w:pPr>
              <w:rPr>
                <w:b/>
                <w:bCs/>
              </w:rPr>
            </w:pPr>
            <w:r w:rsidRPr="00EF5699">
              <w:rPr>
                <w:b/>
                <w:bCs/>
              </w:rPr>
              <w:t>Form Builder Tool</w:t>
            </w:r>
          </w:p>
        </w:tc>
        <w:tc>
          <w:tcPr>
            <w:tcW w:w="0" w:type="auto"/>
            <w:tcMar>
              <w:top w:w="120" w:type="dxa"/>
              <w:left w:w="180" w:type="dxa"/>
              <w:bottom w:w="120" w:type="dxa"/>
              <w:right w:w="180" w:type="dxa"/>
            </w:tcMar>
            <w:hideMark/>
          </w:tcPr>
          <w:p w14:paraId="78FC6616" w14:textId="77777777" w:rsidR="00EF5699" w:rsidRPr="00EF5699" w:rsidRDefault="00EF5699" w:rsidP="00EF5699">
            <w:pPr>
              <w:rPr>
                <w:b/>
                <w:bCs/>
              </w:rPr>
            </w:pPr>
            <w:r w:rsidRPr="00EF5699">
              <w:rPr>
                <w:b/>
                <w:bCs/>
              </w:rPr>
              <w:t>Free Tier Limits</w:t>
            </w:r>
          </w:p>
        </w:tc>
        <w:tc>
          <w:tcPr>
            <w:tcW w:w="0" w:type="auto"/>
            <w:tcMar>
              <w:top w:w="120" w:type="dxa"/>
              <w:left w:w="180" w:type="dxa"/>
              <w:bottom w:w="120" w:type="dxa"/>
              <w:right w:w="180" w:type="dxa"/>
            </w:tcMar>
            <w:hideMark/>
          </w:tcPr>
          <w:p w14:paraId="05E55A0C" w14:textId="77777777" w:rsidR="00EF5699" w:rsidRPr="00EF5699" w:rsidRDefault="00EF5699" w:rsidP="00EF5699">
            <w:pPr>
              <w:rPr>
                <w:b/>
                <w:bCs/>
              </w:rPr>
            </w:pPr>
            <w:r w:rsidRPr="00EF5699">
              <w:rPr>
                <w:b/>
                <w:bCs/>
              </w:rPr>
              <w:t>Entry Paid Tier Pricing</w:t>
            </w:r>
          </w:p>
        </w:tc>
        <w:tc>
          <w:tcPr>
            <w:tcW w:w="0" w:type="auto"/>
            <w:tcMar>
              <w:top w:w="120" w:type="dxa"/>
              <w:left w:w="180" w:type="dxa"/>
              <w:bottom w:w="120" w:type="dxa"/>
              <w:right w:w="180" w:type="dxa"/>
            </w:tcMar>
            <w:hideMark/>
          </w:tcPr>
          <w:p w14:paraId="4ABC422B" w14:textId="77777777" w:rsidR="00EF5699" w:rsidRPr="00EF5699" w:rsidRDefault="00EF5699" w:rsidP="00EF5699">
            <w:pPr>
              <w:rPr>
                <w:b/>
                <w:bCs/>
              </w:rPr>
            </w:pPr>
            <w:r w:rsidRPr="00EF5699">
              <w:rPr>
                <w:b/>
                <w:bCs/>
              </w:rPr>
              <w:t>Logic &amp; Math Engine Depth</w:t>
            </w:r>
          </w:p>
        </w:tc>
        <w:tc>
          <w:tcPr>
            <w:tcW w:w="0" w:type="auto"/>
            <w:tcMar>
              <w:top w:w="120" w:type="dxa"/>
              <w:left w:w="180" w:type="dxa"/>
              <w:bottom w:w="120" w:type="dxa"/>
              <w:right w:w="180" w:type="dxa"/>
            </w:tcMar>
            <w:hideMark/>
          </w:tcPr>
          <w:p w14:paraId="33435439" w14:textId="77777777" w:rsidR="00EF5699" w:rsidRPr="00EF5699" w:rsidRDefault="00EF5699" w:rsidP="00EF5699">
            <w:pPr>
              <w:rPr>
                <w:b/>
                <w:bCs/>
              </w:rPr>
            </w:pPr>
            <w:r w:rsidRPr="00EF5699">
              <w:rPr>
                <w:b/>
                <w:bCs/>
              </w:rPr>
              <w:t>Pre-fill &amp; Bi-Directional Integration Capabilities</w:t>
            </w:r>
          </w:p>
        </w:tc>
        <w:tc>
          <w:tcPr>
            <w:tcW w:w="0" w:type="auto"/>
            <w:tcMar>
              <w:top w:w="120" w:type="dxa"/>
              <w:left w:w="180" w:type="dxa"/>
              <w:bottom w:w="120" w:type="dxa"/>
              <w:right w:w="180" w:type="dxa"/>
            </w:tcMar>
            <w:hideMark/>
          </w:tcPr>
          <w:p w14:paraId="3902D810" w14:textId="77777777" w:rsidR="00EF5699" w:rsidRPr="00EF5699" w:rsidRDefault="00EF5699" w:rsidP="00EF5699">
            <w:pPr>
              <w:rPr>
                <w:b/>
                <w:bCs/>
              </w:rPr>
            </w:pPr>
            <w:r w:rsidRPr="00EF5699">
              <w:rPr>
                <w:b/>
                <w:bCs/>
              </w:rPr>
              <w:t>Core Limitations &amp; Identified Pain Points</w:t>
            </w:r>
          </w:p>
        </w:tc>
      </w:tr>
      <w:tr w:rsidR="00EF5699" w:rsidRPr="00EF5699" w14:paraId="19EBA8F4" w14:textId="77777777">
        <w:trPr>
          <w:tblCellSpacing w:w="15" w:type="dxa"/>
        </w:trPr>
        <w:tc>
          <w:tcPr>
            <w:tcW w:w="0" w:type="auto"/>
            <w:tcMar>
              <w:top w:w="120" w:type="dxa"/>
              <w:left w:w="180" w:type="dxa"/>
              <w:bottom w:w="120" w:type="dxa"/>
              <w:right w:w="180" w:type="dxa"/>
            </w:tcMar>
            <w:hideMark/>
          </w:tcPr>
          <w:p w14:paraId="36BD7EDA" w14:textId="77777777" w:rsidR="00EF5699" w:rsidRPr="00EF5699" w:rsidRDefault="00EF5699" w:rsidP="00EF5699">
            <w:r w:rsidRPr="00EF5699">
              <w:rPr>
                <w:b/>
                <w:bCs/>
              </w:rPr>
              <w:t>Google Forms</w:t>
            </w:r>
          </w:p>
        </w:tc>
        <w:tc>
          <w:tcPr>
            <w:tcW w:w="0" w:type="auto"/>
            <w:tcMar>
              <w:top w:w="120" w:type="dxa"/>
              <w:left w:w="180" w:type="dxa"/>
              <w:bottom w:w="120" w:type="dxa"/>
              <w:right w:w="180" w:type="dxa"/>
            </w:tcMar>
            <w:hideMark/>
          </w:tcPr>
          <w:p w14:paraId="1EB839BA" w14:textId="77777777" w:rsidR="00EF5699" w:rsidRPr="00EF5699" w:rsidRDefault="00EF5699" w:rsidP="00EF5699">
            <w:r w:rsidRPr="00EF5699">
              <w:t>Unlimited forms, responses, and file storage</w:t>
            </w:r>
          </w:p>
        </w:tc>
        <w:tc>
          <w:tcPr>
            <w:tcW w:w="0" w:type="auto"/>
            <w:tcMar>
              <w:top w:w="120" w:type="dxa"/>
              <w:left w:w="180" w:type="dxa"/>
              <w:bottom w:w="120" w:type="dxa"/>
              <w:right w:w="180" w:type="dxa"/>
            </w:tcMar>
            <w:hideMark/>
          </w:tcPr>
          <w:p w14:paraId="1C8B67D1" w14:textId="77777777" w:rsidR="00EF5699" w:rsidRPr="00EF5699" w:rsidRDefault="00EF5699" w:rsidP="00EF5699">
            <w:r w:rsidRPr="00EF5699">
              <w:t>Free (Workspace from $7/user/mo)</w:t>
            </w:r>
          </w:p>
        </w:tc>
        <w:tc>
          <w:tcPr>
            <w:tcW w:w="0" w:type="auto"/>
            <w:tcMar>
              <w:top w:w="120" w:type="dxa"/>
              <w:left w:w="180" w:type="dxa"/>
              <w:bottom w:w="120" w:type="dxa"/>
              <w:right w:w="180" w:type="dxa"/>
            </w:tcMar>
            <w:hideMark/>
          </w:tcPr>
          <w:p w14:paraId="2B1A8F33" w14:textId="77777777" w:rsidR="00EF5699" w:rsidRPr="00EF5699" w:rsidRDefault="00EF5699" w:rsidP="00EF5699">
            <w:r w:rsidRPr="00EF5699">
              <w:t>Basic section branching; no dynamic math engines</w:t>
            </w:r>
          </w:p>
        </w:tc>
        <w:tc>
          <w:tcPr>
            <w:tcW w:w="0" w:type="auto"/>
            <w:tcMar>
              <w:top w:w="120" w:type="dxa"/>
              <w:left w:w="180" w:type="dxa"/>
              <w:bottom w:w="120" w:type="dxa"/>
              <w:right w:w="180" w:type="dxa"/>
            </w:tcMar>
            <w:hideMark/>
          </w:tcPr>
          <w:p w14:paraId="34F45BF0" w14:textId="77777777" w:rsidR="00EF5699" w:rsidRPr="00EF5699" w:rsidRDefault="00EF5699" w:rsidP="00EF5699">
            <w:r w:rsidRPr="00EF5699">
              <w:t>Static URL pre-fill only; no native dynamic database sync</w:t>
            </w:r>
          </w:p>
        </w:tc>
        <w:tc>
          <w:tcPr>
            <w:tcW w:w="0" w:type="auto"/>
            <w:tcMar>
              <w:top w:w="120" w:type="dxa"/>
              <w:left w:w="180" w:type="dxa"/>
              <w:bottom w:w="120" w:type="dxa"/>
              <w:right w:w="180" w:type="dxa"/>
            </w:tcMar>
            <w:hideMark/>
          </w:tcPr>
          <w:p w14:paraId="1D77D9CF" w14:textId="77777777" w:rsidR="00EF5699" w:rsidRPr="00EF5699" w:rsidRDefault="00EF5699" w:rsidP="00EF5699">
            <w:r w:rsidRPr="00EF5699">
              <w:t>Only 11 field types, no payment collection, no native approvals, unbranded styling, no offline mode.</w:t>
            </w:r>
          </w:p>
        </w:tc>
      </w:tr>
      <w:tr w:rsidR="00EF5699" w:rsidRPr="00EF5699" w14:paraId="5AF3B8B9" w14:textId="77777777">
        <w:trPr>
          <w:tblCellSpacing w:w="15" w:type="dxa"/>
        </w:trPr>
        <w:tc>
          <w:tcPr>
            <w:tcW w:w="0" w:type="auto"/>
            <w:tcMar>
              <w:top w:w="120" w:type="dxa"/>
              <w:left w:w="180" w:type="dxa"/>
              <w:bottom w:w="120" w:type="dxa"/>
              <w:right w:w="180" w:type="dxa"/>
            </w:tcMar>
            <w:hideMark/>
          </w:tcPr>
          <w:p w14:paraId="00BD4873" w14:textId="77777777" w:rsidR="00EF5699" w:rsidRPr="00EF5699" w:rsidRDefault="00EF5699" w:rsidP="00EF5699">
            <w:r w:rsidRPr="00EF5699">
              <w:rPr>
                <w:b/>
                <w:bCs/>
              </w:rPr>
              <w:t>Typeform</w:t>
            </w:r>
          </w:p>
        </w:tc>
        <w:tc>
          <w:tcPr>
            <w:tcW w:w="0" w:type="auto"/>
            <w:tcMar>
              <w:top w:w="120" w:type="dxa"/>
              <w:left w:w="180" w:type="dxa"/>
              <w:bottom w:w="120" w:type="dxa"/>
              <w:right w:w="180" w:type="dxa"/>
            </w:tcMar>
            <w:hideMark/>
          </w:tcPr>
          <w:p w14:paraId="789112E7" w14:textId="77777777" w:rsidR="00EF5699" w:rsidRPr="00EF5699" w:rsidRDefault="00EF5699" w:rsidP="00EF5699">
            <w:r w:rsidRPr="00EF5699">
              <w:t>10 responses per month</w:t>
            </w:r>
          </w:p>
        </w:tc>
        <w:tc>
          <w:tcPr>
            <w:tcW w:w="0" w:type="auto"/>
            <w:tcMar>
              <w:top w:w="120" w:type="dxa"/>
              <w:left w:w="180" w:type="dxa"/>
              <w:bottom w:w="120" w:type="dxa"/>
              <w:right w:w="180" w:type="dxa"/>
            </w:tcMar>
            <w:hideMark/>
          </w:tcPr>
          <w:p w14:paraId="708F31C9" w14:textId="77777777" w:rsidR="00EF5699" w:rsidRPr="00EF5699" w:rsidRDefault="00EF5699" w:rsidP="00EF5699">
            <w:r w:rsidRPr="00EF5699">
              <w:t>$29/mo (100 responses/mo cap)</w:t>
            </w:r>
          </w:p>
        </w:tc>
        <w:tc>
          <w:tcPr>
            <w:tcW w:w="0" w:type="auto"/>
            <w:tcMar>
              <w:top w:w="120" w:type="dxa"/>
              <w:left w:w="180" w:type="dxa"/>
              <w:bottom w:w="120" w:type="dxa"/>
              <w:right w:w="180" w:type="dxa"/>
            </w:tcMar>
            <w:hideMark/>
          </w:tcPr>
          <w:p w14:paraId="4075D9CA" w14:textId="77777777" w:rsidR="00EF5699" w:rsidRPr="00EF5699" w:rsidRDefault="00EF5699" w:rsidP="00EF5699">
            <w:r w:rsidRPr="00EF5699">
              <w:t>Sequential question branching and score variables</w:t>
            </w:r>
          </w:p>
        </w:tc>
        <w:tc>
          <w:tcPr>
            <w:tcW w:w="0" w:type="auto"/>
            <w:tcMar>
              <w:top w:w="120" w:type="dxa"/>
              <w:left w:w="180" w:type="dxa"/>
              <w:bottom w:w="120" w:type="dxa"/>
              <w:right w:w="180" w:type="dxa"/>
            </w:tcMar>
            <w:hideMark/>
          </w:tcPr>
          <w:p w14:paraId="0430F846" w14:textId="77777777" w:rsidR="00EF5699" w:rsidRPr="00EF5699" w:rsidRDefault="00EF5699" w:rsidP="00EF5699">
            <w:r w:rsidRPr="00EF5699">
              <w:t>Pre-fill via URL params; webhook sync to CRMs</w:t>
            </w:r>
          </w:p>
        </w:tc>
        <w:tc>
          <w:tcPr>
            <w:tcW w:w="0" w:type="auto"/>
            <w:tcMar>
              <w:top w:w="120" w:type="dxa"/>
              <w:left w:w="180" w:type="dxa"/>
              <w:bottom w:w="120" w:type="dxa"/>
              <w:right w:w="180" w:type="dxa"/>
            </w:tcMar>
            <w:hideMark/>
          </w:tcPr>
          <w:p w14:paraId="65B13965" w14:textId="77777777" w:rsidR="00EF5699" w:rsidRPr="00EF5699" w:rsidRDefault="00EF5699" w:rsidP="00EF5699">
            <w:r w:rsidRPr="00EF5699">
              <w:t>High pricing scale, strict submission caps, forced single-question layout, iFrame styling limits.</w:t>
            </w:r>
          </w:p>
        </w:tc>
      </w:tr>
      <w:tr w:rsidR="00EF5699" w:rsidRPr="00EF5699" w14:paraId="23DDF813" w14:textId="77777777">
        <w:trPr>
          <w:tblCellSpacing w:w="15" w:type="dxa"/>
        </w:trPr>
        <w:tc>
          <w:tcPr>
            <w:tcW w:w="0" w:type="auto"/>
            <w:tcMar>
              <w:top w:w="120" w:type="dxa"/>
              <w:left w:w="180" w:type="dxa"/>
              <w:bottom w:w="120" w:type="dxa"/>
              <w:right w:w="180" w:type="dxa"/>
            </w:tcMar>
            <w:hideMark/>
          </w:tcPr>
          <w:p w14:paraId="530273A9" w14:textId="77777777" w:rsidR="00EF5699" w:rsidRPr="00EF5699" w:rsidRDefault="00EF5699" w:rsidP="00EF5699">
            <w:r w:rsidRPr="00EF5699">
              <w:rPr>
                <w:b/>
                <w:bCs/>
              </w:rPr>
              <w:t>Tally Forms</w:t>
            </w:r>
          </w:p>
        </w:tc>
        <w:tc>
          <w:tcPr>
            <w:tcW w:w="0" w:type="auto"/>
            <w:tcMar>
              <w:top w:w="120" w:type="dxa"/>
              <w:left w:w="180" w:type="dxa"/>
              <w:bottom w:w="120" w:type="dxa"/>
              <w:right w:w="180" w:type="dxa"/>
            </w:tcMar>
            <w:hideMark/>
          </w:tcPr>
          <w:p w14:paraId="201C0E29" w14:textId="77777777" w:rsidR="00EF5699" w:rsidRPr="00EF5699" w:rsidRDefault="00EF5699" w:rsidP="00EF5699">
            <w:r w:rsidRPr="00EF5699">
              <w:t>Unlimited forms and responses</w:t>
            </w:r>
          </w:p>
        </w:tc>
        <w:tc>
          <w:tcPr>
            <w:tcW w:w="0" w:type="auto"/>
            <w:tcMar>
              <w:top w:w="120" w:type="dxa"/>
              <w:left w:w="180" w:type="dxa"/>
              <w:bottom w:w="120" w:type="dxa"/>
              <w:right w:w="180" w:type="dxa"/>
            </w:tcMar>
            <w:hideMark/>
          </w:tcPr>
          <w:p w14:paraId="6F5806B8" w14:textId="77777777" w:rsidR="00EF5699" w:rsidRPr="00EF5699" w:rsidRDefault="00EF5699" w:rsidP="00EF5699">
            <w:r w:rsidRPr="00EF5699">
              <w:t>$29/mo (Pro: custom subdomains, teams)</w:t>
            </w:r>
          </w:p>
        </w:tc>
        <w:tc>
          <w:tcPr>
            <w:tcW w:w="0" w:type="auto"/>
            <w:tcMar>
              <w:top w:w="120" w:type="dxa"/>
              <w:left w:w="180" w:type="dxa"/>
              <w:bottom w:w="120" w:type="dxa"/>
              <w:right w:w="180" w:type="dxa"/>
            </w:tcMar>
            <w:hideMark/>
          </w:tcPr>
          <w:p w14:paraId="1F06BA28" w14:textId="77777777" w:rsidR="00EF5699" w:rsidRPr="00EF5699" w:rsidRDefault="00EF5699" w:rsidP="00EF5699">
            <w:r w:rsidRPr="00EF5699">
              <w:t>Conditional logic, field calculations, custom variables</w:t>
            </w:r>
          </w:p>
        </w:tc>
        <w:tc>
          <w:tcPr>
            <w:tcW w:w="0" w:type="auto"/>
            <w:tcMar>
              <w:top w:w="120" w:type="dxa"/>
              <w:left w:w="180" w:type="dxa"/>
              <w:bottom w:w="120" w:type="dxa"/>
              <w:right w:w="180" w:type="dxa"/>
            </w:tcMar>
            <w:hideMark/>
          </w:tcPr>
          <w:p w14:paraId="60204701" w14:textId="77777777" w:rsidR="00EF5699" w:rsidRPr="00EF5699" w:rsidRDefault="00EF5699" w:rsidP="00EF5699">
            <w:r w:rsidRPr="00EF5699">
              <w:t>Integrates natively with Airtable/Notion; standard webhooks</w:t>
            </w:r>
          </w:p>
        </w:tc>
        <w:tc>
          <w:tcPr>
            <w:tcW w:w="0" w:type="auto"/>
            <w:tcMar>
              <w:top w:w="120" w:type="dxa"/>
              <w:left w:w="180" w:type="dxa"/>
              <w:bottom w:w="120" w:type="dxa"/>
              <w:right w:w="180" w:type="dxa"/>
            </w:tcMar>
            <w:hideMark/>
          </w:tcPr>
          <w:p w14:paraId="5150CD3A" w14:textId="77777777" w:rsidR="00EF5699" w:rsidRPr="00EF5699" w:rsidRDefault="00EF5699" w:rsidP="00EF5699">
            <w:r w:rsidRPr="00EF5699">
              <w:t>Lacks multi-tier approval workflows, dynamic database record updates, and HIPAA features.</w:t>
            </w:r>
          </w:p>
        </w:tc>
      </w:tr>
      <w:tr w:rsidR="00EF5699" w:rsidRPr="00EF5699" w14:paraId="402EACAB" w14:textId="77777777">
        <w:trPr>
          <w:tblCellSpacing w:w="15" w:type="dxa"/>
        </w:trPr>
        <w:tc>
          <w:tcPr>
            <w:tcW w:w="0" w:type="auto"/>
            <w:tcMar>
              <w:top w:w="120" w:type="dxa"/>
              <w:left w:w="180" w:type="dxa"/>
              <w:bottom w:w="120" w:type="dxa"/>
              <w:right w:w="180" w:type="dxa"/>
            </w:tcMar>
            <w:hideMark/>
          </w:tcPr>
          <w:p w14:paraId="1582A7C1" w14:textId="77777777" w:rsidR="00EF5699" w:rsidRPr="00EF5699" w:rsidRDefault="00EF5699" w:rsidP="00EF5699">
            <w:r w:rsidRPr="00EF5699">
              <w:rPr>
                <w:b/>
                <w:bCs/>
              </w:rPr>
              <w:t>Fillout</w:t>
            </w:r>
          </w:p>
        </w:tc>
        <w:tc>
          <w:tcPr>
            <w:tcW w:w="0" w:type="auto"/>
            <w:tcMar>
              <w:top w:w="120" w:type="dxa"/>
              <w:left w:w="180" w:type="dxa"/>
              <w:bottom w:w="120" w:type="dxa"/>
              <w:right w:w="180" w:type="dxa"/>
            </w:tcMar>
            <w:hideMark/>
          </w:tcPr>
          <w:p w14:paraId="506A4917" w14:textId="77777777" w:rsidR="00EF5699" w:rsidRPr="00EF5699" w:rsidRDefault="00EF5699" w:rsidP="00EF5699">
            <w:r w:rsidRPr="00EF5699">
              <w:t>1,000 responses per month</w:t>
            </w:r>
          </w:p>
        </w:tc>
        <w:tc>
          <w:tcPr>
            <w:tcW w:w="0" w:type="auto"/>
            <w:tcMar>
              <w:top w:w="120" w:type="dxa"/>
              <w:left w:w="180" w:type="dxa"/>
              <w:bottom w:w="120" w:type="dxa"/>
              <w:right w:w="180" w:type="dxa"/>
            </w:tcMar>
            <w:hideMark/>
          </w:tcPr>
          <w:p w14:paraId="1882D71E" w14:textId="77777777" w:rsidR="00EF5699" w:rsidRPr="00EF5699" w:rsidRDefault="00EF5699" w:rsidP="00EF5699">
            <w:r w:rsidRPr="00EF5699">
              <w:t>$19/mo (Starter), $49/mo (Pro)</w:t>
            </w:r>
          </w:p>
        </w:tc>
        <w:tc>
          <w:tcPr>
            <w:tcW w:w="0" w:type="auto"/>
            <w:tcMar>
              <w:top w:w="120" w:type="dxa"/>
              <w:left w:w="180" w:type="dxa"/>
              <w:bottom w:w="120" w:type="dxa"/>
              <w:right w:w="180" w:type="dxa"/>
            </w:tcMar>
            <w:hideMark/>
          </w:tcPr>
          <w:p w14:paraId="6E83529E" w14:textId="77777777" w:rsidR="00EF5699" w:rsidRPr="00EF5699" w:rsidRDefault="00EF5699" w:rsidP="00EF5699">
            <w:r w:rsidRPr="00EF5699">
              <w:t>Multi-path dynamic branching, regex, dynamic page skip</w:t>
            </w:r>
          </w:p>
        </w:tc>
        <w:tc>
          <w:tcPr>
            <w:tcW w:w="0" w:type="auto"/>
            <w:tcMar>
              <w:top w:w="120" w:type="dxa"/>
              <w:left w:w="180" w:type="dxa"/>
              <w:bottom w:w="120" w:type="dxa"/>
              <w:right w:w="180" w:type="dxa"/>
            </w:tcMar>
            <w:hideMark/>
          </w:tcPr>
          <w:p w14:paraId="3F05647F" w14:textId="77777777" w:rsidR="00EF5699" w:rsidRPr="00EF5699" w:rsidRDefault="00EF5699" w:rsidP="00EF5699">
            <w:r w:rsidRPr="00EF5699">
              <w:t>Exceptional dynamic bi-directional database sync (Airtable/Notion)</w:t>
            </w:r>
          </w:p>
        </w:tc>
        <w:tc>
          <w:tcPr>
            <w:tcW w:w="0" w:type="auto"/>
            <w:tcMar>
              <w:top w:w="120" w:type="dxa"/>
              <w:left w:w="180" w:type="dxa"/>
              <w:bottom w:w="120" w:type="dxa"/>
              <w:right w:w="180" w:type="dxa"/>
            </w:tcMar>
            <w:hideMark/>
          </w:tcPr>
          <w:p w14:paraId="4CED2198" w14:textId="77777777" w:rsidR="00EF5699" w:rsidRPr="00EF5699" w:rsidRDefault="00EF5699" w:rsidP="00EF5699">
            <w:r w:rsidRPr="00EF5699">
              <w:t>Visual design constraints, no manual draft save button, steep plan jumps.</w:t>
            </w:r>
          </w:p>
        </w:tc>
      </w:tr>
      <w:tr w:rsidR="00EF5699" w:rsidRPr="00EF5699" w14:paraId="1E065E0E" w14:textId="77777777">
        <w:trPr>
          <w:tblCellSpacing w:w="15" w:type="dxa"/>
        </w:trPr>
        <w:tc>
          <w:tcPr>
            <w:tcW w:w="0" w:type="auto"/>
            <w:tcMar>
              <w:top w:w="120" w:type="dxa"/>
              <w:left w:w="180" w:type="dxa"/>
              <w:bottom w:w="120" w:type="dxa"/>
              <w:right w:w="180" w:type="dxa"/>
            </w:tcMar>
            <w:hideMark/>
          </w:tcPr>
          <w:p w14:paraId="59A2FDE7" w14:textId="77777777" w:rsidR="00EF5699" w:rsidRPr="00EF5699" w:rsidRDefault="00EF5699" w:rsidP="00EF5699">
            <w:r w:rsidRPr="00EF5699">
              <w:rPr>
                <w:b/>
                <w:bCs/>
              </w:rPr>
              <w:t>Jotform</w:t>
            </w:r>
          </w:p>
        </w:tc>
        <w:tc>
          <w:tcPr>
            <w:tcW w:w="0" w:type="auto"/>
            <w:tcMar>
              <w:top w:w="120" w:type="dxa"/>
              <w:left w:w="180" w:type="dxa"/>
              <w:bottom w:w="120" w:type="dxa"/>
              <w:right w:w="180" w:type="dxa"/>
            </w:tcMar>
            <w:hideMark/>
          </w:tcPr>
          <w:p w14:paraId="5CF36254" w14:textId="77777777" w:rsidR="00EF5699" w:rsidRPr="00EF5699" w:rsidRDefault="00EF5699" w:rsidP="00EF5699">
            <w:r w:rsidRPr="00EF5699">
              <w:t>5 active forms, 100 responses/mo</w:t>
            </w:r>
          </w:p>
        </w:tc>
        <w:tc>
          <w:tcPr>
            <w:tcW w:w="0" w:type="auto"/>
            <w:tcMar>
              <w:top w:w="120" w:type="dxa"/>
              <w:left w:w="180" w:type="dxa"/>
              <w:bottom w:w="120" w:type="dxa"/>
              <w:right w:w="180" w:type="dxa"/>
            </w:tcMar>
            <w:hideMark/>
          </w:tcPr>
          <w:p w14:paraId="00102170" w14:textId="77777777" w:rsidR="00EF5699" w:rsidRPr="00EF5699" w:rsidRDefault="00EF5699" w:rsidP="00EF5699">
            <w:r w:rsidRPr="00EF5699">
              <w:t>$34/mo (Bronze: 1,000 responses)</w:t>
            </w:r>
          </w:p>
        </w:tc>
        <w:tc>
          <w:tcPr>
            <w:tcW w:w="0" w:type="auto"/>
            <w:tcMar>
              <w:top w:w="120" w:type="dxa"/>
              <w:left w:w="180" w:type="dxa"/>
              <w:bottom w:w="120" w:type="dxa"/>
              <w:right w:w="180" w:type="dxa"/>
            </w:tcMar>
            <w:hideMark/>
          </w:tcPr>
          <w:p w14:paraId="05DF6EE7" w14:textId="77777777" w:rsidR="00EF5699" w:rsidRPr="00EF5699" w:rsidRDefault="00EF5699" w:rsidP="00EF5699">
            <w:r w:rsidRPr="00EF5699">
              <w:t xml:space="preserve">Visual rule builder, calculations widget, </w:t>
            </w:r>
            <w:r w:rsidRPr="00EF5699">
              <w:lastRenderedPageBreak/>
              <w:t>dynamic conditions</w:t>
            </w:r>
          </w:p>
        </w:tc>
        <w:tc>
          <w:tcPr>
            <w:tcW w:w="0" w:type="auto"/>
            <w:tcMar>
              <w:top w:w="120" w:type="dxa"/>
              <w:left w:w="180" w:type="dxa"/>
              <w:bottom w:w="120" w:type="dxa"/>
              <w:right w:w="180" w:type="dxa"/>
            </w:tcMar>
            <w:hideMark/>
          </w:tcPr>
          <w:p w14:paraId="67AE43A6" w14:textId="77777777" w:rsidR="00EF5699" w:rsidRPr="00EF5699" w:rsidRDefault="00EF5699" w:rsidP="00EF5699">
            <w:r w:rsidRPr="00EF5699">
              <w:lastRenderedPageBreak/>
              <w:t>Direct integrations and Zapier middleware sync</w:t>
            </w:r>
          </w:p>
        </w:tc>
        <w:tc>
          <w:tcPr>
            <w:tcW w:w="0" w:type="auto"/>
            <w:tcMar>
              <w:top w:w="120" w:type="dxa"/>
              <w:left w:w="180" w:type="dxa"/>
              <w:bottom w:w="120" w:type="dxa"/>
              <w:right w:w="180" w:type="dxa"/>
            </w:tcMar>
            <w:hideMark/>
          </w:tcPr>
          <w:p w14:paraId="2366137D" w14:textId="77777777" w:rsidR="00EF5699" w:rsidRPr="00EF5699" w:rsidRDefault="00EF5699" w:rsidP="00EF5699">
            <w:r w:rsidRPr="00EF5699">
              <w:t xml:space="preserve">Cluttered administration interface, data sync latency across </w:t>
            </w:r>
            <w:r w:rsidRPr="00EF5699">
              <w:lastRenderedPageBreak/>
              <w:t>sources, mobile display breakages.</w:t>
            </w:r>
          </w:p>
        </w:tc>
      </w:tr>
      <w:tr w:rsidR="00EF5699" w:rsidRPr="00EF5699" w14:paraId="14677542" w14:textId="77777777">
        <w:trPr>
          <w:tblCellSpacing w:w="15" w:type="dxa"/>
        </w:trPr>
        <w:tc>
          <w:tcPr>
            <w:tcW w:w="0" w:type="auto"/>
            <w:tcMar>
              <w:top w:w="120" w:type="dxa"/>
              <w:left w:w="180" w:type="dxa"/>
              <w:bottom w:w="120" w:type="dxa"/>
              <w:right w:w="180" w:type="dxa"/>
            </w:tcMar>
            <w:hideMark/>
          </w:tcPr>
          <w:p w14:paraId="7553090A" w14:textId="77777777" w:rsidR="00EF5699" w:rsidRPr="00EF5699" w:rsidRDefault="00EF5699" w:rsidP="00EF5699">
            <w:r w:rsidRPr="00EF5699">
              <w:rPr>
                <w:b/>
                <w:bCs/>
              </w:rPr>
              <w:lastRenderedPageBreak/>
              <w:t>Cognito Forms</w:t>
            </w:r>
          </w:p>
        </w:tc>
        <w:tc>
          <w:tcPr>
            <w:tcW w:w="0" w:type="auto"/>
            <w:tcMar>
              <w:top w:w="120" w:type="dxa"/>
              <w:left w:w="180" w:type="dxa"/>
              <w:bottom w:w="120" w:type="dxa"/>
              <w:right w:w="180" w:type="dxa"/>
            </w:tcMar>
            <w:hideMark/>
          </w:tcPr>
          <w:p w14:paraId="0D8EA931" w14:textId="77777777" w:rsidR="00EF5699" w:rsidRPr="00EF5699" w:rsidRDefault="00EF5699" w:rsidP="00EF5699">
            <w:r w:rsidRPr="00EF5699">
              <w:t>1 active form, 500 entries/mo</w:t>
            </w:r>
          </w:p>
        </w:tc>
        <w:tc>
          <w:tcPr>
            <w:tcW w:w="0" w:type="auto"/>
            <w:tcMar>
              <w:top w:w="120" w:type="dxa"/>
              <w:left w:w="180" w:type="dxa"/>
              <w:bottom w:w="120" w:type="dxa"/>
              <w:right w:w="180" w:type="dxa"/>
            </w:tcMar>
            <w:hideMark/>
          </w:tcPr>
          <w:p w14:paraId="34FD6749" w14:textId="77777777" w:rsidR="00EF5699" w:rsidRPr="00EF5699" w:rsidRDefault="00EF5699" w:rsidP="00EF5699">
            <w:r w:rsidRPr="00EF5699">
              <w:t>$19/mo (Pro: 2,000 entries + HIPAA)</w:t>
            </w:r>
          </w:p>
        </w:tc>
        <w:tc>
          <w:tcPr>
            <w:tcW w:w="0" w:type="auto"/>
            <w:tcMar>
              <w:top w:w="120" w:type="dxa"/>
              <w:left w:w="180" w:type="dxa"/>
              <w:bottom w:w="120" w:type="dxa"/>
              <w:right w:w="180" w:type="dxa"/>
            </w:tcMar>
            <w:hideMark/>
          </w:tcPr>
          <w:p w14:paraId="787034FB" w14:textId="77777777" w:rsidR="00EF5699" w:rsidRPr="00EF5699" w:rsidRDefault="00EF5699" w:rsidP="00EF5699">
            <w:r w:rsidRPr="00EF5699">
              <w:t>Advanced calculations, repeating sections, relational logic</w:t>
            </w:r>
          </w:p>
        </w:tc>
        <w:tc>
          <w:tcPr>
            <w:tcW w:w="0" w:type="auto"/>
            <w:tcMar>
              <w:top w:w="120" w:type="dxa"/>
              <w:left w:w="180" w:type="dxa"/>
              <w:bottom w:w="120" w:type="dxa"/>
              <w:right w:w="180" w:type="dxa"/>
            </w:tcMar>
            <w:hideMark/>
          </w:tcPr>
          <w:p w14:paraId="03AD7CBF" w14:textId="77777777" w:rsidR="00EF5699" w:rsidRPr="00EF5699" w:rsidRDefault="00EF5699" w:rsidP="00EF5699">
            <w:r w:rsidRPr="00EF5699">
              <w:t>Lookup fields, relational database sync, dynamic pre-fill</w:t>
            </w:r>
          </w:p>
        </w:tc>
        <w:tc>
          <w:tcPr>
            <w:tcW w:w="0" w:type="auto"/>
            <w:tcMar>
              <w:top w:w="120" w:type="dxa"/>
              <w:left w:w="180" w:type="dxa"/>
              <w:bottom w:w="120" w:type="dxa"/>
              <w:right w:w="180" w:type="dxa"/>
            </w:tcMar>
            <w:hideMark/>
          </w:tcPr>
          <w:p w14:paraId="31974CBB" w14:textId="77777777" w:rsidR="00EF5699" w:rsidRPr="00EF5699" w:rsidRDefault="00EF5699" w:rsidP="00EF5699">
            <w:r w:rsidRPr="00EF5699">
              <w:t>Outdated UI styling, complex formula syntax, script collisions on embeds.</w:t>
            </w:r>
          </w:p>
        </w:tc>
      </w:tr>
      <w:tr w:rsidR="00EF5699" w:rsidRPr="00EF5699" w14:paraId="0F97FA8B" w14:textId="77777777">
        <w:trPr>
          <w:tblCellSpacing w:w="15" w:type="dxa"/>
        </w:trPr>
        <w:tc>
          <w:tcPr>
            <w:tcW w:w="0" w:type="auto"/>
            <w:tcMar>
              <w:top w:w="120" w:type="dxa"/>
              <w:left w:w="180" w:type="dxa"/>
              <w:bottom w:w="120" w:type="dxa"/>
              <w:right w:w="180" w:type="dxa"/>
            </w:tcMar>
            <w:hideMark/>
          </w:tcPr>
          <w:p w14:paraId="600A17DA" w14:textId="77777777" w:rsidR="00EF5699" w:rsidRPr="00EF5699" w:rsidRDefault="00EF5699" w:rsidP="00EF5699">
            <w:r w:rsidRPr="00EF5699">
              <w:rPr>
                <w:b/>
                <w:bCs/>
              </w:rPr>
              <w:t>Zoho Forms</w:t>
            </w:r>
          </w:p>
        </w:tc>
        <w:tc>
          <w:tcPr>
            <w:tcW w:w="0" w:type="auto"/>
            <w:tcMar>
              <w:top w:w="120" w:type="dxa"/>
              <w:left w:w="180" w:type="dxa"/>
              <w:bottom w:w="120" w:type="dxa"/>
              <w:right w:w="180" w:type="dxa"/>
            </w:tcMar>
            <w:hideMark/>
          </w:tcPr>
          <w:p w14:paraId="7E41ECD8" w14:textId="77777777" w:rsidR="00EF5699" w:rsidRPr="00EF5699" w:rsidRDefault="00EF5699" w:rsidP="00EF5699">
            <w:r w:rsidRPr="00EF5699">
              <w:t>3 forms, 500 responses per month</w:t>
            </w:r>
          </w:p>
        </w:tc>
        <w:tc>
          <w:tcPr>
            <w:tcW w:w="0" w:type="auto"/>
            <w:tcMar>
              <w:top w:w="120" w:type="dxa"/>
              <w:left w:w="180" w:type="dxa"/>
              <w:bottom w:w="120" w:type="dxa"/>
              <w:right w:w="180" w:type="dxa"/>
            </w:tcMar>
            <w:hideMark/>
          </w:tcPr>
          <w:p w14:paraId="422814D4" w14:textId="77777777" w:rsidR="00EF5699" w:rsidRPr="00EF5699" w:rsidRDefault="00EF5699" w:rsidP="00EF5699">
            <w:r w:rsidRPr="00EF5699">
              <w:t>$12/mo (Basic), $30/mo (Standard)</w:t>
            </w:r>
          </w:p>
        </w:tc>
        <w:tc>
          <w:tcPr>
            <w:tcW w:w="0" w:type="auto"/>
            <w:tcMar>
              <w:top w:w="120" w:type="dxa"/>
              <w:left w:w="180" w:type="dxa"/>
              <w:bottom w:w="120" w:type="dxa"/>
              <w:right w:w="180" w:type="dxa"/>
            </w:tcMar>
            <w:hideMark/>
          </w:tcPr>
          <w:p w14:paraId="16B3D452" w14:textId="77777777" w:rsidR="00EF5699" w:rsidRPr="00EF5699" w:rsidRDefault="00EF5699" w:rsidP="00EF5699">
            <w:r w:rsidRPr="00EF5699">
              <w:t>Conditional branching rules and math calculations</w:t>
            </w:r>
          </w:p>
        </w:tc>
        <w:tc>
          <w:tcPr>
            <w:tcW w:w="0" w:type="auto"/>
            <w:tcMar>
              <w:top w:w="120" w:type="dxa"/>
              <w:left w:w="180" w:type="dxa"/>
              <w:bottom w:w="120" w:type="dxa"/>
              <w:right w:w="180" w:type="dxa"/>
            </w:tcMar>
            <w:hideMark/>
          </w:tcPr>
          <w:p w14:paraId="0BE51653" w14:textId="77777777" w:rsidR="00EF5699" w:rsidRPr="00EF5699" w:rsidRDefault="00EF5699" w:rsidP="00EF5699">
            <w:r w:rsidRPr="00EF5699">
              <w:t>Direct bi-directional integration with Zoho CRM ecosystem</w:t>
            </w:r>
          </w:p>
        </w:tc>
        <w:tc>
          <w:tcPr>
            <w:tcW w:w="0" w:type="auto"/>
            <w:tcMar>
              <w:top w:w="120" w:type="dxa"/>
              <w:left w:w="180" w:type="dxa"/>
              <w:bottom w:w="120" w:type="dxa"/>
              <w:right w:w="180" w:type="dxa"/>
            </w:tcMar>
            <w:hideMark/>
          </w:tcPr>
          <w:p w14:paraId="6E961B08" w14:textId="77777777" w:rsidR="00EF5699" w:rsidRPr="00EF5699" w:rsidRDefault="00EF5699" w:rsidP="00EF5699">
            <w:r w:rsidRPr="00EF5699">
              <w:t>Outdated UI aesthetics, approvals paywalled at $30/mo, HIPAA locked at $90/mo.</w:t>
            </w:r>
          </w:p>
        </w:tc>
      </w:tr>
      <w:tr w:rsidR="00EF5699" w:rsidRPr="00EF5699" w14:paraId="73C80D6D" w14:textId="77777777">
        <w:trPr>
          <w:tblCellSpacing w:w="15" w:type="dxa"/>
        </w:trPr>
        <w:tc>
          <w:tcPr>
            <w:tcW w:w="0" w:type="auto"/>
            <w:tcMar>
              <w:top w:w="120" w:type="dxa"/>
              <w:left w:w="180" w:type="dxa"/>
              <w:bottom w:w="120" w:type="dxa"/>
              <w:right w:w="180" w:type="dxa"/>
            </w:tcMar>
            <w:hideMark/>
          </w:tcPr>
          <w:p w14:paraId="54736B0E" w14:textId="77777777" w:rsidR="00EF5699" w:rsidRPr="00EF5699" w:rsidRDefault="00EF5699" w:rsidP="00EF5699">
            <w:r w:rsidRPr="00EF5699">
              <w:rPr>
                <w:b/>
                <w:bCs/>
              </w:rPr>
              <w:t>AntForms</w:t>
            </w:r>
          </w:p>
        </w:tc>
        <w:tc>
          <w:tcPr>
            <w:tcW w:w="0" w:type="auto"/>
            <w:tcMar>
              <w:top w:w="120" w:type="dxa"/>
              <w:left w:w="180" w:type="dxa"/>
              <w:bottom w:w="120" w:type="dxa"/>
              <w:right w:w="180" w:type="dxa"/>
            </w:tcMar>
            <w:hideMark/>
          </w:tcPr>
          <w:p w14:paraId="6ADED9A4" w14:textId="77777777" w:rsidR="00EF5699" w:rsidRPr="00EF5699" w:rsidRDefault="00EF5699" w:rsidP="00EF5699">
            <w:r w:rsidRPr="00EF5699">
              <w:t>Unlimited responses</w:t>
            </w:r>
          </w:p>
        </w:tc>
        <w:tc>
          <w:tcPr>
            <w:tcW w:w="0" w:type="auto"/>
            <w:tcMar>
              <w:top w:w="120" w:type="dxa"/>
              <w:left w:w="180" w:type="dxa"/>
              <w:bottom w:w="120" w:type="dxa"/>
              <w:right w:w="180" w:type="dxa"/>
            </w:tcMar>
            <w:hideMark/>
          </w:tcPr>
          <w:p w14:paraId="02505574" w14:textId="77777777" w:rsidR="00EF5699" w:rsidRPr="00EF5699" w:rsidRDefault="00EF5699" w:rsidP="00EF5699">
            <w:r w:rsidRPr="00EF5699">
              <w:t>Paid upgrades for white-labeling</w:t>
            </w:r>
          </w:p>
        </w:tc>
        <w:tc>
          <w:tcPr>
            <w:tcW w:w="0" w:type="auto"/>
            <w:tcMar>
              <w:top w:w="120" w:type="dxa"/>
              <w:left w:w="180" w:type="dxa"/>
              <w:bottom w:w="120" w:type="dxa"/>
              <w:right w:w="180" w:type="dxa"/>
            </w:tcMar>
            <w:hideMark/>
          </w:tcPr>
          <w:p w14:paraId="5EEAF3C4" w14:textId="77777777" w:rsidR="00EF5699" w:rsidRPr="00EF5699" w:rsidRDefault="00EF5699" w:rsidP="00EF5699">
            <w:r w:rsidRPr="00EF5699">
              <w:t>Visual conditional logic builder</w:t>
            </w:r>
          </w:p>
        </w:tc>
        <w:tc>
          <w:tcPr>
            <w:tcW w:w="0" w:type="auto"/>
            <w:tcMar>
              <w:top w:w="120" w:type="dxa"/>
              <w:left w:w="180" w:type="dxa"/>
              <w:bottom w:w="120" w:type="dxa"/>
              <w:right w:w="180" w:type="dxa"/>
            </w:tcMar>
            <w:hideMark/>
          </w:tcPr>
          <w:p w14:paraId="7696A1FC" w14:textId="77777777" w:rsidR="00EF5699" w:rsidRPr="00EF5699" w:rsidRDefault="00EF5699" w:rsidP="00EF5699">
            <w:r w:rsidRPr="00EF5699">
              <w:t>Webhooks, Slack, Notion, and Google Sheets sync</w:t>
            </w:r>
          </w:p>
        </w:tc>
        <w:tc>
          <w:tcPr>
            <w:tcW w:w="0" w:type="auto"/>
            <w:tcMar>
              <w:top w:w="120" w:type="dxa"/>
              <w:left w:w="180" w:type="dxa"/>
              <w:bottom w:w="120" w:type="dxa"/>
              <w:right w:w="180" w:type="dxa"/>
            </w:tcMar>
            <w:hideMark/>
          </w:tcPr>
          <w:p w14:paraId="0BD13417" w14:textId="77777777" w:rsidR="00EF5699" w:rsidRPr="00EF5699" w:rsidRDefault="00EF5699" w:rsidP="00EF5699">
            <w:r w:rsidRPr="00EF5699">
              <w:t>Lacks SOC 2, HIPAA BAA, and SSO; smaller integration directory; branding on free tier.</w:t>
            </w:r>
          </w:p>
        </w:tc>
      </w:tr>
    </w:tbl>
    <w:p w14:paraId="5CB7FBD7" w14:textId="77777777" w:rsidR="00EF5699" w:rsidRPr="00EF5699" w:rsidRDefault="00EF5699" w:rsidP="00EF5699">
      <w:r w:rsidRPr="00EF5699">
        <w:t>  </w:t>
      </w:r>
    </w:p>
    <w:p w14:paraId="19456104" w14:textId="77777777" w:rsidR="00EF5699" w:rsidRPr="00EF5699" w:rsidRDefault="00EF5699" w:rsidP="00EF5699">
      <w:pPr>
        <w:rPr>
          <w:b/>
          <w:bCs/>
        </w:rPr>
      </w:pPr>
      <w:r w:rsidRPr="00EF5699">
        <w:rPr>
          <w:b/>
          <w:bCs/>
        </w:rPr>
        <w:t>Second- and Third-Order Market Insights and Structural Shifts</w:t>
      </w:r>
    </w:p>
    <w:p w14:paraId="15A79E3D" w14:textId="77777777" w:rsidR="00EF5699" w:rsidRPr="00EF5699" w:rsidRDefault="00EF5699" w:rsidP="00EF5699">
      <w:r w:rsidRPr="00EF5699">
        <w:t>Analyzing core features and user feedback across the current product ecosystem reveals several structural shifts reshaping the form software market.   </w:t>
      </w:r>
    </w:p>
    <w:p w14:paraId="5A6E3E16" w14:textId="77777777" w:rsidR="00EF5699" w:rsidRPr="00EF5699" w:rsidRDefault="00EF5699" w:rsidP="00EF5699">
      <w:pPr>
        <w:rPr>
          <w:b/>
          <w:bCs/>
        </w:rPr>
      </w:pPr>
      <w:r w:rsidRPr="00EF5699">
        <w:rPr>
          <w:b/>
          <w:bCs/>
        </w:rPr>
        <w:t>The Disconnect Between Storage Infrastructure Costs and Response Metering</w:t>
      </w:r>
    </w:p>
    <w:p w14:paraId="5250A71C" w14:textId="77777777" w:rsidR="00EF5699" w:rsidRPr="00EF5699" w:rsidRDefault="00EF5699" w:rsidP="00EF5699">
      <w:r w:rsidRPr="00EF5699">
        <w:t>A major structural discrepancy in legacy form platforms is the artificial inflation of response meter limits. Compute and database storage costs for processing structured JSON text entries are negligible; storing 10,000 text responses consumes less than 5 MB of database storage. However, traditional SaaS vendors mark up response tiers significantly, charging upwards of $70 to $100 per month for modest submission volumes.   </w:t>
      </w:r>
    </w:p>
    <w:p w14:paraId="7B27C432" w14:textId="77777777" w:rsidR="00EF5699" w:rsidRPr="00EF5699" w:rsidRDefault="00EF5699" w:rsidP="00EF5699">
      <w:r w:rsidRPr="00EF5699">
        <w:t>This price-to-cost discrepancy has created high rates of customer churn. Organizations frequently adopt tools like Typeform for their initial visual appeal, but migrate away once campaign submission volumes scale up. This dynamic has catalyzed the rise of indie form platforms (Youform, AntForms, Tally, Fomr) built around unlimited response architectures, forcing incumbent vendors to rely heavily on enterprise feature paywalls rather than core data collection value.   </w:t>
      </w:r>
    </w:p>
    <w:p w14:paraId="3F9EA900" w14:textId="77777777" w:rsidR="00EF5699" w:rsidRPr="00EF5699" w:rsidRDefault="00EF5699" w:rsidP="00EF5699">
      <w:pPr>
        <w:rPr>
          <w:b/>
          <w:bCs/>
        </w:rPr>
      </w:pPr>
      <w:r w:rsidRPr="00EF5699">
        <w:rPr>
          <w:b/>
          <w:bCs/>
        </w:rPr>
        <w:t>The Transition from Static Data Intake to Interactive Micro-Web Applications</w:t>
      </w:r>
    </w:p>
    <w:p w14:paraId="44C64223" w14:textId="77777777" w:rsidR="00EF5699" w:rsidRPr="00EF5699" w:rsidRDefault="00EF5699" w:rsidP="00EF5699">
      <w:r w:rsidRPr="00EF5699">
        <w:lastRenderedPageBreak/>
        <w:t>The operational line separating online form tools from custom web applications has largely dissolved. End users no longer view forms as simple, isolated contact points; they use form builders to construct customer portals, dynamic quote engines, multi-step onboarding flows, and internal approval software.   </w:t>
      </w:r>
    </w:p>
    <w:p w14:paraId="04E40A17" w14:textId="77777777" w:rsidR="00EF5699" w:rsidRPr="00EF5699" w:rsidRDefault="00EF5699" w:rsidP="00EF5699">
      <w:r w:rsidRPr="00EF5699">
        <w:t>Consequently, form builders that rely on flat, one-way data writing are becoming less competitive for mid-market business workflows. Modern form tools must function as real-time, bi-directional state engines capable of executing client-side pre-fetching, dynamic relational lookups, and dynamic record mutations without forcing reliance on external automation tools like Zapier or Make.   </w:t>
      </w:r>
    </w:p>
    <w:p w14:paraId="3B63D1DF" w14:textId="77777777" w:rsidR="00EF5699" w:rsidRPr="00EF5699" w:rsidRDefault="00EF5699" w:rsidP="00EF5699">
      <w:pPr>
        <w:rPr>
          <w:b/>
          <w:bCs/>
        </w:rPr>
      </w:pPr>
      <w:r w:rsidRPr="00EF5699">
        <w:rPr>
          <w:b/>
          <w:bCs/>
        </w:rPr>
        <w:t>The Shift from AI Form Generation to AI Runtime Optimization</w:t>
      </w:r>
    </w:p>
    <w:p w14:paraId="7F7736B8" w14:textId="77777777" w:rsidR="00EF5699" w:rsidRPr="00EF5699" w:rsidRDefault="00EF5699" w:rsidP="00EF5699">
      <w:r w:rsidRPr="00EF5699">
        <w:t>Most form tools have implemented generative AI capabilities, allowing creators to generate basic form layouts using natural language prompts. However, prompt-to-form generation offers only minor time savings during initial setup.   </w:t>
      </w:r>
    </w:p>
    <w:p w14:paraId="1B7B2177" w14:textId="77777777" w:rsidR="00EF5699" w:rsidRPr="00EF5699" w:rsidRDefault="00EF5699" w:rsidP="00EF5699">
      <w:r w:rsidRPr="00EF5699">
        <w:t>The primary long-term opportunity lies in AI-driven runtime optimization. While legacy form builders render static fields once published, an advanced form engine can analyze user drop-off points, typing speeds, and field abandonment in real time. This enables the engine to adjust question sequences dynamically, shorten multi-page flows, or clarify confusing field labels on the fly to maximize completion rates.   </w:t>
      </w:r>
    </w:p>
    <w:p w14:paraId="5DBF8601" w14:textId="77777777" w:rsidR="00EF5699" w:rsidRPr="00EF5699" w:rsidRDefault="00EF5699" w:rsidP="00EF5699">
      <w:pPr>
        <w:rPr>
          <w:b/>
          <w:bCs/>
        </w:rPr>
      </w:pPr>
      <w:r w:rsidRPr="00EF5699">
        <w:rPr>
          <w:b/>
          <w:bCs/>
        </w:rPr>
        <w:t>Strategic Product Roadmap for a Next-Generation Form Builder</w:t>
      </w:r>
    </w:p>
    <w:p w14:paraId="1784C1E9" w14:textId="77777777" w:rsidR="00EF5699" w:rsidRPr="00EF5699" w:rsidRDefault="00EF5699" w:rsidP="00EF5699">
      <w:r w:rsidRPr="00EF5699">
        <w:t>To address the limitations of existing form tools, a next-generation form builder should be designed around five fundamental architectural pillars.   </w:t>
      </w:r>
    </w:p>
    <w:p w14:paraId="5B0FD08C" w14:textId="77777777" w:rsidR="00EF5699" w:rsidRPr="00EF5699" w:rsidRDefault="00EF5699" w:rsidP="00EF5699">
      <w:pPr>
        <w:rPr>
          <w:b/>
          <w:bCs/>
        </w:rPr>
      </w:pPr>
      <w:r w:rsidRPr="00EF5699">
        <w:rPr>
          <w:b/>
          <w:bCs/>
        </w:rPr>
        <w:t>Pillar 1: Multi-Paradigm Layout Engine (Layout-Agnostic Core)</w:t>
      </w:r>
    </w:p>
    <w:p w14:paraId="08C080F3" w14:textId="77777777" w:rsidR="00EF5699" w:rsidRPr="00EF5699" w:rsidRDefault="00EF5699" w:rsidP="00EF5699">
      <w:r w:rsidRPr="00EF5699">
        <w:t>The platform should decouple the underlying data schema from the frontend visual layout layer. Creators should be able to toggle any form between four native presentation views with a single click:   </w:t>
      </w:r>
    </w:p>
    <w:p w14:paraId="5C1FA7F1" w14:textId="77777777" w:rsidR="00EF5699" w:rsidRPr="00EF5699" w:rsidRDefault="00EF5699" w:rsidP="00EF5699">
      <w:pPr>
        <w:numPr>
          <w:ilvl w:val="0"/>
          <w:numId w:val="3"/>
        </w:numPr>
      </w:pPr>
      <w:r w:rsidRPr="00EF5699">
        <w:t>Document View: A slash-command block editor designed for fast, content-rich form creation.   </w:t>
      </w:r>
    </w:p>
    <w:p w14:paraId="457AB532" w14:textId="77777777" w:rsidR="00EF5699" w:rsidRPr="00EF5699" w:rsidRDefault="00EF5699" w:rsidP="00EF5699">
      <w:pPr>
        <w:numPr>
          <w:ilvl w:val="0"/>
          <w:numId w:val="3"/>
        </w:numPr>
      </w:pPr>
      <w:r w:rsidRPr="00EF5699">
        <w:t>Conversational Card View: A single-question-per-view flow featuring smooth keyboard navigation to maximize consumer survey engagement.   </w:t>
      </w:r>
    </w:p>
    <w:p w14:paraId="0F86278B" w14:textId="77777777" w:rsidR="00EF5699" w:rsidRPr="00EF5699" w:rsidRDefault="00EF5699" w:rsidP="00EF5699">
      <w:pPr>
        <w:numPr>
          <w:ilvl w:val="0"/>
          <w:numId w:val="3"/>
        </w:numPr>
      </w:pPr>
      <w:r w:rsidRPr="00EF5699">
        <w:t>Dense Grid View: A structured, multi-column layout tailored for dense business applications, medical intakes, and order forms.   </w:t>
      </w:r>
    </w:p>
    <w:p w14:paraId="28A7B3F3" w14:textId="77777777" w:rsidR="00EF5699" w:rsidRPr="00EF5699" w:rsidRDefault="00EF5699" w:rsidP="00EF5699">
      <w:pPr>
        <w:numPr>
          <w:ilvl w:val="0"/>
          <w:numId w:val="3"/>
        </w:numPr>
      </w:pPr>
      <w:r w:rsidRPr="00EF5699">
        <w:t>Portal View: A multi-page application interface built for user onboarding and client account updates.   </w:t>
      </w:r>
    </w:p>
    <w:p w14:paraId="44AF2A73" w14:textId="77777777" w:rsidR="00EF5699" w:rsidRPr="00EF5699" w:rsidRDefault="00EF5699" w:rsidP="00EF5699">
      <w:pPr>
        <w:rPr>
          <w:b/>
          <w:bCs/>
        </w:rPr>
      </w:pPr>
      <w:r w:rsidRPr="00EF5699">
        <w:rPr>
          <w:b/>
          <w:bCs/>
        </w:rPr>
        <w:t>Pillar 2: Bi-Directional Synchronization Engine</w:t>
      </w:r>
    </w:p>
    <w:p w14:paraId="0EFC47F6" w14:textId="77777777" w:rsidR="00EF5699" w:rsidRPr="00EF5699" w:rsidRDefault="00EF5699" w:rsidP="00EF5699">
      <w:r w:rsidRPr="00EF5699">
        <w:t>The platform must move past one-way data writing by incorporating native, bi-directional sync adapters for platforms like Airtable, Notion, PostgreSQL, and HubSpot. The system should support pre-fetch webhooks that trigger when a user opens a form or inputs a key identifier like an email address. It can then query external databases in real time to return dynamic JSON variables that pre-fill subsequent fields, filter dropdown choices, or update existing database records upon completion.   </w:t>
      </w:r>
    </w:p>
    <w:p w14:paraId="7F615519" w14:textId="77777777" w:rsidR="00EF5699" w:rsidRPr="00EF5699" w:rsidRDefault="00EF5699" w:rsidP="00EF5699">
      <w:pPr>
        <w:rPr>
          <w:b/>
          <w:bCs/>
        </w:rPr>
      </w:pPr>
      <w:r w:rsidRPr="00EF5699">
        <w:rPr>
          <w:b/>
          <w:bCs/>
        </w:rPr>
        <w:lastRenderedPageBreak/>
        <w:t>Pillar 3: Visual Logic Node Engine with Inline Mathematics</w:t>
      </w:r>
    </w:p>
    <w:p w14:paraId="540A8AC7" w14:textId="77777777" w:rsidR="00EF5699" w:rsidRPr="00EF5699" w:rsidRDefault="00EF5699" w:rsidP="00EF5699">
      <w:r w:rsidRPr="00EF5699">
        <w:t>The form builder must bridge the gap between simple show/hide branching and complex formula syntax. It should feature an intuitive, node-based flowchart interface for mapping complex conditional branches, paired with an expression builder for inline mathematical calculations, dynamic string manipulations, and regex field validations. Additionally, a built-in logic simulator should allow creators to test variable states across dynamic conditions before going live.   </w:t>
      </w:r>
    </w:p>
    <w:p w14:paraId="337AE74F" w14:textId="77777777" w:rsidR="00EF5699" w:rsidRPr="00EF5699" w:rsidRDefault="00EF5699" w:rsidP="00EF5699">
      <w:pPr>
        <w:rPr>
          <w:b/>
          <w:bCs/>
        </w:rPr>
      </w:pPr>
      <w:r w:rsidRPr="00EF5699">
        <w:rPr>
          <w:b/>
          <w:bCs/>
        </w:rPr>
        <w:t>Pillar 4: Native Partial Submission Recovery</w:t>
      </w:r>
    </w:p>
    <w:p w14:paraId="0D089493" w14:textId="77777777" w:rsidR="00EF5699" w:rsidRPr="00EF5699" w:rsidRDefault="00EF5699" w:rsidP="00EF5699">
      <w:r w:rsidRPr="00EF5699">
        <w:t>To address user drop-off during data entry, the engine should implement client-side input auto-saving and server-side draft synchronization. If a user abandons a form after entering key contact information, the platform saves the entry as a "Draft Lead". Native automation triggers can then initiate recovery workflows, such as sending follow-up emails or dispatching notifications to sales teams.   </w:t>
      </w:r>
    </w:p>
    <w:p w14:paraId="1D387AD6" w14:textId="77777777" w:rsidR="00EF5699" w:rsidRPr="00EF5699" w:rsidRDefault="00EF5699" w:rsidP="00EF5699">
      <w:pPr>
        <w:rPr>
          <w:b/>
          <w:bCs/>
        </w:rPr>
      </w:pPr>
      <w:r w:rsidRPr="00EF5699">
        <w:rPr>
          <w:b/>
          <w:bCs/>
        </w:rPr>
        <w:t>Pillar 5: Web Component Embedding (Shadow DOM Architecture)</w:t>
      </w:r>
    </w:p>
    <w:p w14:paraId="1ACD1665" w14:textId="77777777" w:rsidR="00EF5699" w:rsidRPr="00EF5699" w:rsidRDefault="00EF5699" w:rsidP="00EF5699">
      <w:r w:rsidRPr="00EF5699">
        <w:t>To eliminate the design and integration constraints of iFrames, the form builder should deliver embedded forms using lightweight JavaScript Web Components that leverage the Web Shadow DOM. This enables forms to render natively inside host applications—such as React, Webflow, or WordPress—without CSS framework collisions, cleanly inheriting global styles, typography, and dark-mode settings.   </w:t>
      </w:r>
    </w:p>
    <w:tbl>
      <w:tblPr>
        <w:tblW w:w="11276" w:type="dxa"/>
        <w:tblCellSpacing w:w="15" w:type="dxa"/>
        <w:tblCellMar>
          <w:top w:w="15" w:type="dxa"/>
          <w:left w:w="15" w:type="dxa"/>
          <w:bottom w:w="15" w:type="dxa"/>
          <w:right w:w="15" w:type="dxa"/>
        </w:tblCellMar>
        <w:tblLook w:val="04A0" w:firstRow="1" w:lastRow="0" w:firstColumn="1" w:lastColumn="0" w:noHBand="0" w:noVBand="1"/>
      </w:tblPr>
      <w:tblGrid>
        <w:gridCol w:w="2066"/>
        <w:gridCol w:w="2805"/>
        <w:gridCol w:w="3184"/>
        <w:gridCol w:w="3221"/>
      </w:tblGrid>
      <w:tr w:rsidR="00EF5699" w:rsidRPr="00EF5699" w14:paraId="2DF593C0" w14:textId="77777777">
        <w:trPr>
          <w:tblHeader/>
          <w:tblCellSpacing w:w="15" w:type="dxa"/>
        </w:trPr>
        <w:tc>
          <w:tcPr>
            <w:tcW w:w="0" w:type="auto"/>
            <w:tcMar>
              <w:top w:w="120" w:type="dxa"/>
              <w:left w:w="180" w:type="dxa"/>
              <w:bottom w:w="120" w:type="dxa"/>
              <w:right w:w="180" w:type="dxa"/>
            </w:tcMar>
            <w:hideMark/>
          </w:tcPr>
          <w:p w14:paraId="48E0F270" w14:textId="77777777" w:rsidR="00EF5699" w:rsidRPr="00EF5699" w:rsidRDefault="00EF5699" w:rsidP="00EF5699">
            <w:pPr>
              <w:rPr>
                <w:b/>
                <w:bCs/>
              </w:rPr>
            </w:pPr>
            <w:r w:rsidRPr="00EF5699">
              <w:rPr>
                <w:b/>
                <w:bCs/>
              </w:rPr>
              <w:t>Feature Vector</w:t>
            </w:r>
          </w:p>
        </w:tc>
        <w:tc>
          <w:tcPr>
            <w:tcW w:w="0" w:type="auto"/>
            <w:tcMar>
              <w:top w:w="120" w:type="dxa"/>
              <w:left w:w="180" w:type="dxa"/>
              <w:bottom w:w="120" w:type="dxa"/>
              <w:right w:w="180" w:type="dxa"/>
            </w:tcMar>
            <w:hideMark/>
          </w:tcPr>
          <w:p w14:paraId="78C1930B" w14:textId="77777777" w:rsidR="00EF5699" w:rsidRPr="00EF5699" w:rsidRDefault="00EF5699" w:rsidP="00EF5699">
            <w:pPr>
              <w:rPr>
                <w:b/>
                <w:bCs/>
              </w:rPr>
            </w:pPr>
            <w:r w:rsidRPr="00EF5699">
              <w:rPr>
                <w:b/>
                <w:bCs/>
              </w:rPr>
              <w:t>Legacy Competitor Blueprint</w:t>
            </w:r>
          </w:p>
        </w:tc>
        <w:tc>
          <w:tcPr>
            <w:tcW w:w="0" w:type="auto"/>
            <w:tcMar>
              <w:top w:w="120" w:type="dxa"/>
              <w:left w:w="180" w:type="dxa"/>
              <w:bottom w:w="120" w:type="dxa"/>
              <w:right w:w="180" w:type="dxa"/>
            </w:tcMar>
            <w:hideMark/>
          </w:tcPr>
          <w:p w14:paraId="3532FD77" w14:textId="77777777" w:rsidR="00EF5699" w:rsidRPr="00EF5699" w:rsidRDefault="00EF5699" w:rsidP="00EF5699">
            <w:pPr>
              <w:rPr>
                <w:b/>
                <w:bCs/>
              </w:rPr>
            </w:pPr>
            <w:r w:rsidRPr="00EF5699">
              <w:rPr>
                <w:b/>
                <w:bCs/>
              </w:rPr>
              <w:t>Next-Generation Form Builder Specification</w:t>
            </w:r>
          </w:p>
        </w:tc>
        <w:tc>
          <w:tcPr>
            <w:tcW w:w="0" w:type="auto"/>
            <w:tcMar>
              <w:top w:w="120" w:type="dxa"/>
              <w:left w:w="180" w:type="dxa"/>
              <w:bottom w:w="120" w:type="dxa"/>
              <w:right w:w="180" w:type="dxa"/>
            </w:tcMar>
            <w:hideMark/>
          </w:tcPr>
          <w:p w14:paraId="00328A70" w14:textId="77777777" w:rsidR="00EF5699" w:rsidRPr="00EF5699" w:rsidRDefault="00EF5699" w:rsidP="00EF5699">
            <w:pPr>
              <w:rPr>
                <w:b/>
                <w:bCs/>
              </w:rPr>
            </w:pPr>
            <w:r w:rsidRPr="00EF5699">
              <w:rPr>
                <w:b/>
                <w:bCs/>
              </w:rPr>
              <w:t>Core Operational Value</w:t>
            </w:r>
          </w:p>
        </w:tc>
      </w:tr>
      <w:tr w:rsidR="00EF5699" w:rsidRPr="00EF5699" w14:paraId="1E280CD3" w14:textId="77777777">
        <w:trPr>
          <w:tblCellSpacing w:w="15" w:type="dxa"/>
        </w:trPr>
        <w:tc>
          <w:tcPr>
            <w:tcW w:w="0" w:type="auto"/>
            <w:tcMar>
              <w:top w:w="120" w:type="dxa"/>
              <w:left w:w="180" w:type="dxa"/>
              <w:bottom w:w="120" w:type="dxa"/>
              <w:right w:w="180" w:type="dxa"/>
            </w:tcMar>
            <w:hideMark/>
          </w:tcPr>
          <w:p w14:paraId="4131F4E8" w14:textId="77777777" w:rsidR="00EF5699" w:rsidRPr="00EF5699" w:rsidRDefault="00EF5699" w:rsidP="00EF5699">
            <w:r w:rsidRPr="00EF5699">
              <w:rPr>
                <w:b/>
                <w:bCs/>
              </w:rPr>
              <w:t>Monetization Model</w:t>
            </w:r>
          </w:p>
        </w:tc>
        <w:tc>
          <w:tcPr>
            <w:tcW w:w="0" w:type="auto"/>
            <w:tcMar>
              <w:top w:w="120" w:type="dxa"/>
              <w:left w:w="180" w:type="dxa"/>
              <w:bottom w:w="120" w:type="dxa"/>
              <w:right w:w="180" w:type="dxa"/>
            </w:tcMar>
            <w:hideMark/>
          </w:tcPr>
          <w:p w14:paraId="348D4D6F" w14:textId="77777777" w:rsidR="00EF5699" w:rsidRPr="00EF5699" w:rsidRDefault="00EF5699" w:rsidP="00EF5699">
            <w:r w:rsidRPr="00EF5699">
              <w:t>Strict submission caps; key branding and white-label features paywalled.</w:t>
            </w:r>
          </w:p>
        </w:tc>
        <w:tc>
          <w:tcPr>
            <w:tcW w:w="0" w:type="auto"/>
            <w:tcMar>
              <w:top w:w="120" w:type="dxa"/>
              <w:left w:w="180" w:type="dxa"/>
              <w:bottom w:w="120" w:type="dxa"/>
              <w:right w:w="180" w:type="dxa"/>
            </w:tcMar>
            <w:hideMark/>
          </w:tcPr>
          <w:p w14:paraId="2BE07D68" w14:textId="77777777" w:rsidR="00EF5699" w:rsidRPr="00EF5699" w:rsidRDefault="00EF5699" w:rsidP="00EF5699">
            <w:r w:rsidRPr="00EF5699">
              <w:t>Unlimited text submissions on all tiers; flat-rate pricing based on workflows and seats.</w:t>
            </w:r>
          </w:p>
        </w:tc>
        <w:tc>
          <w:tcPr>
            <w:tcW w:w="0" w:type="auto"/>
            <w:tcMar>
              <w:top w:w="120" w:type="dxa"/>
              <w:left w:w="180" w:type="dxa"/>
              <w:bottom w:w="120" w:type="dxa"/>
              <w:right w:w="180" w:type="dxa"/>
            </w:tcMar>
            <w:hideMark/>
          </w:tcPr>
          <w:p w14:paraId="5E37CFB4" w14:textId="77777777" w:rsidR="00EF5699" w:rsidRPr="00EF5699" w:rsidRDefault="00EF5699" w:rsidP="00EF5699">
            <w:r w:rsidRPr="00EF5699">
              <w:t>Eliminates usage-based penalties and builds long-term creator trust.</w:t>
            </w:r>
          </w:p>
        </w:tc>
      </w:tr>
      <w:tr w:rsidR="00EF5699" w:rsidRPr="00EF5699" w14:paraId="48F5D99B" w14:textId="77777777">
        <w:trPr>
          <w:tblCellSpacing w:w="15" w:type="dxa"/>
        </w:trPr>
        <w:tc>
          <w:tcPr>
            <w:tcW w:w="0" w:type="auto"/>
            <w:tcMar>
              <w:top w:w="120" w:type="dxa"/>
              <w:left w:w="180" w:type="dxa"/>
              <w:bottom w:w="120" w:type="dxa"/>
              <w:right w:w="180" w:type="dxa"/>
            </w:tcMar>
            <w:hideMark/>
          </w:tcPr>
          <w:p w14:paraId="0180CBBB" w14:textId="77777777" w:rsidR="00EF5699" w:rsidRPr="00EF5699" w:rsidRDefault="00EF5699" w:rsidP="00EF5699">
            <w:r w:rsidRPr="00EF5699">
              <w:rPr>
                <w:b/>
                <w:bCs/>
              </w:rPr>
              <w:t>Embedding Method</w:t>
            </w:r>
          </w:p>
        </w:tc>
        <w:tc>
          <w:tcPr>
            <w:tcW w:w="0" w:type="auto"/>
            <w:tcMar>
              <w:top w:w="120" w:type="dxa"/>
              <w:left w:w="180" w:type="dxa"/>
              <w:bottom w:w="120" w:type="dxa"/>
              <w:right w:w="180" w:type="dxa"/>
            </w:tcMar>
            <w:hideMark/>
          </w:tcPr>
          <w:p w14:paraId="45146694" w14:textId="77777777" w:rsidR="00EF5699" w:rsidRPr="00EF5699" w:rsidRDefault="00EF5699" w:rsidP="00EF5699">
            <w:r w:rsidRPr="00EF5699">
              <w:t>Standard isolated &lt;iframe&gt; embeds causing CSS collisions and layout breaks.</w:t>
            </w:r>
          </w:p>
        </w:tc>
        <w:tc>
          <w:tcPr>
            <w:tcW w:w="0" w:type="auto"/>
            <w:tcMar>
              <w:top w:w="120" w:type="dxa"/>
              <w:left w:w="180" w:type="dxa"/>
              <w:bottom w:w="120" w:type="dxa"/>
              <w:right w:w="180" w:type="dxa"/>
            </w:tcMar>
            <w:hideMark/>
          </w:tcPr>
          <w:p w14:paraId="3AB00499" w14:textId="77777777" w:rsidR="00EF5699" w:rsidRPr="00EF5699" w:rsidRDefault="00EF5699" w:rsidP="00EF5699">
            <w:r w:rsidRPr="00EF5699">
              <w:t>Native Web Components using Shadow DOM with CSS variable inheritance.</w:t>
            </w:r>
          </w:p>
        </w:tc>
        <w:tc>
          <w:tcPr>
            <w:tcW w:w="0" w:type="auto"/>
            <w:tcMar>
              <w:top w:w="120" w:type="dxa"/>
              <w:left w:w="180" w:type="dxa"/>
              <w:bottom w:w="120" w:type="dxa"/>
              <w:right w:w="180" w:type="dxa"/>
            </w:tcMar>
            <w:hideMark/>
          </w:tcPr>
          <w:p w14:paraId="0DAD35CE" w14:textId="77777777" w:rsidR="00EF5699" w:rsidRPr="00EF5699" w:rsidRDefault="00EF5699" w:rsidP="00EF5699">
            <w:r w:rsidRPr="00EF5699">
              <w:t>Seamless visual alignment with host web apps, native responsiveness, and clean styling.</w:t>
            </w:r>
          </w:p>
        </w:tc>
      </w:tr>
      <w:tr w:rsidR="00EF5699" w:rsidRPr="00EF5699" w14:paraId="220D4A36" w14:textId="77777777">
        <w:trPr>
          <w:tblCellSpacing w:w="15" w:type="dxa"/>
        </w:trPr>
        <w:tc>
          <w:tcPr>
            <w:tcW w:w="0" w:type="auto"/>
            <w:tcMar>
              <w:top w:w="120" w:type="dxa"/>
              <w:left w:w="180" w:type="dxa"/>
              <w:bottom w:w="120" w:type="dxa"/>
              <w:right w:w="180" w:type="dxa"/>
            </w:tcMar>
            <w:hideMark/>
          </w:tcPr>
          <w:p w14:paraId="1AA9EAE0" w14:textId="77777777" w:rsidR="00EF5699" w:rsidRPr="00EF5699" w:rsidRDefault="00EF5699" w:rsidP="00EF5699">
            <w:r w:rsidRPr="00EF5699">
              <w:rPr>
                <w:b/>
                <w:bCs/>
              </w:rPr>
              <w:t>Data Synchronization</w:t>
            </w:r>
          </w:p>
        </w:tc>
        <w:tc>
          <w:tcPr>
            <w:tcW w:w="0" w:type="auto"/>
            <w:tcMar>
              <w:top w:w="120" w:type="dxa"/>
              <w:left w:w="180" w:type="dxa"/>
              <w:bottom w:w="120" w:type="dxa"/>
              <w:right w:w="180" w:type="dxa"/>
            </w:tcMar>
            <w:hideMark/>
          </w:tcPr>
          <w:p w14:paraId="03A44582" w14:textId="77777777" w:rsidR="00EF5699" w:rsidRPr="00EF5699" w:rsidRDefault="00EF5699" w:rsidP="00EF5699">
            <w:r w:rsidRPr="00EF5699">
              <w:t>One-way flat payload writing to basic spreadsheets or CRMs.</w:t>
            </w:r>
          </w:p>
        </w:tc>
        <w:tc>
          <w:tcPr>
            <w:tcW w:w="0" w:type="auto"/>
            <w:tcMar>
              <w:top w:w="120" w:type="dxa"/>
              <w:left w:w="180" w:type="dxa"/>
              <w:bottom w:w="120" w:type="dxa"/>
              <w:right w:w="180" w:type="dxa"/>
            </w:tcMar>
            <w:hideMark/>
          </w:tcPr>
          <w:p w14:paraId="500B2D32" w14:textId="77777777" w:rsidR="00EF5699" w:rsidRPr="00EF5699" w:rsidRDefault="00EF5699" w:rsidP="00EF5699">
            <w:r w:rsidRPr="00EF5699">
              <w:t>Native bi-directional pre-fetching and real-time database record updating.</w:t>
            </w:r>
          </w:p>
        </w:tc>
        <w:tc>
          <w:tcPr>
            <w:tcW w:w="0" w:type="auto"/>
            <w:tcMar>
              <w:top w:w="120" w:type="dxa"/>
              <w:left w:w="180" w:type="dxa"/>
              <w:bottom w:w="120" w:type="dxa"/>
              <w:right w:w="180" w:type="dxa"/>
            </w:tcMar>
            <w:hideMark/>
          </w:tcPr>
          <w:p w14:paraId="57D1AE01" w14:textId="77777777" w:rsidR="00EF5699" w:rsidRPr="00EF5699" w:rsidRDefault="00EF5699" w:rsidP="00EF5699">
            <w:r w:rsidRPr="00EF5699">
              <w:t>Transforms standard forms into dynamic, interactive web applications.</w:t>
            </w:r>
          </w:p>
        </w:tc>
      </w:tr>
      <w:tr w:rsidR="00EF5699" w:rsidRPr="00EF5699" w14:paraId="25651B2B" w14:textId="77777777">
        <w:trPr>
          <w:tblCellSpacing w:w="15" w:type="dxa"/>
        </w:trPr>
        <w:tc>
          <w:tcPr>
            <w:tcW w:w="0" w:type="auto"/>
            <w:tcMar>
              <w:top w:w="120" w:type="dxa"/>
              <w:left w:w="180" w:type="dxa"/>
              <w:bottom w:w="120" w:type="dxa"/>
              <w:right w:w="180" w:type="dxa"/>
            </w:tcMar>
            <w:hideMark/>
          </w:tcPr>
          <w:p w14:paraId="72E4B808" w14:textId="77777777" w:rsidR="00EF5699" w:rsidRPr="00EF5699" w:rsidRDefault="00EF5699" w:rsidP="00EF5699">
            <w:r w:rsidRPr="00EF5699">
              <w:rPr>
                <w:b/>
                <w:bCs/>
              </w:rPr>
              <w:t>Partial Submissions</w:t>
            </w:r>
          </w:p>
        </w:tc>
        <w:tc>
          <w:tcPr>
            <w:tcW w:w="0" w:type="auto"/>
            <w:tcMar>
              <w:top w:w="120" w:type="dxa"/>
              <w:left w:w="180" w:type="dxa"/>
              <w:bottom w:w="120" w:type="dxa"/>
              <w:right w:w="180" w:type="dxa"/>
            </w:tcMar>
            <w:hideMark/>
          </w:tcPr>
          <w:p w14:paraId="4B74F082" w14:textId="77777777" w:rsidR="00EF5699" w:rsidRPr="00EF5699" w:rsidRDefault="00EF5699" w:rsidP="00EF5699">
            <w:r w:rsidRPr="00EF5699">
              <w:t>Discards incomplete inputs if the user abandons before submitting.</w:t>
            </w:r>
          </w:p>
        </w:tc>
        <w:tc>
          <w:tcPr>
            <w:tcW w:w="0" w:type="auto"/>
            <w:tcMar>
              <w:top w:w="120" w:type="dxa"/>
              <w:left w:w="180" w:type="dxa"/>
              <w:bottom w:w="120" w:type="dxa"/>
              <w:right w:w="180" w:type="dxa"/>
            </w:tcMar>
            <w:hideMark/>
          </w:tcPr>
          <w:p w14:paraId="603B90C1" w14:textId="77777777" w:rsidR="00EF5699" w:rsidRPr="00EF5699" w:rsidRDefault="00EF5699" w:rsidP="00EF5699">
            <w:r w:rsidRPr="00EF5699">
              <w:t>Real-time input auto-saving; automatically registers incomplete sessions as "Draft Leads".</w:t>
            </w:r>
          </w:p>
        </w:tc>
        <w:tc>
          <w:tcPr>
            <w:tcW w:w="0" w:type="auto"/>
            <w:tcMar>
              <w:top w:w="120" w:type="dxa"/>
              <w:left w:w="180" w:type="dxa"/>
              <w:bottom w:w="120" w:type="dxa"/>
              <w:right w:w="180" w:type="dxa"/>
            </w:tcMar>
            <w:hideMark/>
          </w:tcPr>
          <w:p w14:paraId="682D1AAC" w14:textId="77777777" w:rsidR="00EF5699" w:rsidRPr="00EF5699" w:rsidRDefault="00EF5699" w:rsidP="00EF5699">
            <w:r w:rsidRPr="00EF5699">
              <w:t>Captures lost lead data and improves overall campaign conversions.</w:t>
            </w:r>
          </w:p>
        </w:tc>
      </w:tr>
      <w:tr w:rsidR="00EF5699" w:rsidRPr="00EF5699" w14:paraId="1BF5768C" w14:textId="77777777">
        <w:trPr>
          <w:tblCellSpacing w:w="15" w:type="dxa"/>
        </w:trPr>
        <w:tc>
          <w:tcPr>
            <w:tcW w:w="0" w:type="auto"/>
            <w:tcMar>
              <w:top w:w="120" w:type="dxa"/>
              <w:left w:w="180" w:type="dxa"/>
              <w:bottom w:w="120" w:type="dxa"/>
              <w:right w:w="180" w:type="dxa"/>
            </w:tcMar>
            <w:hideMark/>
          </w:tcPr>
          <w:p w14:paraId="32CFFC91" w14:textId="77777777" w:rsidR="00EF5699" w:rsidRPr="00EF5699" w:rsidRDefault="00EF5699" w:rsidP="00EF5699">
            <w:r w:rsidRPr="00EF5699">
              <w:rPr>
                <w:b/>
                <w:bCs/>
              </w:rPr>
              <w:lastRenderedPageBreak/>
              <w:t>Logic &amp; Calculation Engine</w:t>
            </w:r>
          </w:p>
        </w:tc>
        <w:tc>
          <w:tcPr>
            <w:tcW w:w="0" w:type="auto"/>
            <w:tcMar>
              <w:top w:w="120" w:type="dxa"/>
              <w:left w:w="180" w:type="dxa"/>
              <w:bottom w:w="120" w:type="dxa"/>
              <w:right w:w="180" w:type="dxa"/>
            </w:tcMar>
            <w:hideMark/>
          </w:tcPr>
          <w:p w14:paraId="70190623" w14:textId="77777777" w:rsidR="00EF5699" w:rsidRPr="00EF5699" w:rsidRDefault="00EF5699" w:rsidP="00EF5699">
            <w:r w:rsidRPr="00EF5699">
              <w:t>Basic show/hide rules or dense, hard-to-debug spreadsheet math formulas.</w:t>
            </w:r>
          </w:p>
        </w:tc>
        <w:tc>
          <w:tcPr>
            <w:tcW w:w="0" w:type="auto"/>
            <w:tcMar>
              <w:top w:w="120" w:type="dxa"/>
              <w:left w:w="180" w:type="dxa"/>
              <w:bottom w:w="120" w:type="dxa"/>
              <w:right w:w="180" w:type="dxa"/>
            </w:tcMar>
            <w:hideMark/>
          </w:tcPr>
          <w:p w14:paraId="0B0D6727" w14:textId="77777777" w:rsidR="00EF5699" w:rsidRPr="00EF5699" w:rsidRDefault="00EF5699" w:rsidP="00EF5699">
            <w:r w:rsidRPr="00EF5699">
              <w:t>Visual node-based branching flowchart with inline math expression builder and logic simulator.</w:t>
            </w:r>
          </w:p>
        </w:tc>
        <w:tc>
          <w:tcPr>
            <w:tcW w:w="0" w:type="auto"/>
            <w:tcMar>
              <w:top w:w="120" w:type="dxa"/>
              <w:left w:w="180" w:type="dxa"/>
              <w:bottom w:w="120" w:type="dxa"/>
              <w:right w:w="180" w:type="dxa"/>
            </w:tcMar>
            <w:hideMark/>
          </w:tcPr>
          <w:p w14:paraId="1C3AEF27" w14:textId="77777777" w:rsidR="00EF5699" w:rsidRPr="00EF5699" w:rsidRDefault="00EF5699" w:rsidP="00EF5699">
            <w:r w:rsidRPr="00EF5699">
              <w:t>Enables complex conditional flows and math logic with visual debugging.</w:t>
            </w:r>
          </w:p>
        </w:tc>
      </w:tr>
    </w:tbl>
    <w:p w14:paraId="32D1A85C" w14:textId="77777777" w:rsidR="00EF5699" w:rsidRPr="00EF5699" w:rsidRDefault="00EF5699" w:rsidP="00EF5699">
      <w:r w:rsidRPr="00EF5699">
        <w:t>  </w:t>
      </w:r>
    </w:p>
    <w:p w14:paraId="3034A08C" w14:textId="77777777" w:rsidR="00EF5699" w:rsidRPr="00EF5699" w:rsidRDefault="00EF5699" w:rsidP="00EF5699">
      <w:pPr>
        <w:rPr>
          <w:b/>
          <w:bCs/>
        </w:rPr>
      </w:pPr>
      <w:r w:rsidRPr="00EF5699">
        <w:rPr>
          <w:b/>
          <w:bCs/>
        </w:rPr>
        <w:t>Engineering Recommendations and Conclusion</w:t>
      </w:r>
    </w:p>
    <w:p w14:paraId="6DFFED81" w14:textId="77777777" w:rsidR="00EF5699" w:rsidRPr="00EF5699" w:rsidRDefault="00EF5699" w:rsidP="00EF5699">
      <w:r w:rsidRPr="00EF5699">
        <w:t>Developing a market-leading form platform requires resolving the core trade-offs present in legacy tools: choosing between aesthetic quality (Typeform), unconstrained submission volume (Google Forms, Tally), and deep functional power (Cognito Forms, Fillout).   </w:t>
      </w:r>
    </w:p>
    <w:p w14:paraId="0E47551E" w14:textId="77777777" w:rsidR="00EF5699" w:rsidRPr="00EF5699" w:rsidRDefault="00EF5699" w:rsidP="00EF5699">
      <w:pPr>
        <w:rPr>
          <w:b/>
          <w:bCs/>
        </w:rPr>
      </w:pPr>
      <w:r w:rsidRPr="00EF5699">
        <w:rPr>
          <w:b/>
          <w:bCs/>
        </w:rPr>
        <w:t>Implementation Phases</w:t>
      </w:r>
    </w:p>
    <w:p w14:paraId="61991F10" w14:textId="77777777" w:rsidR="00EF5699" w:rsidRPr="00EF5699" w:rsidRDefault="00EF5699" w:rsidP="00EF5699">
      <w:pPr>
        <w:numPr>
          <w:ilvl w:val="0"/>
          <w:numId w:val="4"/>
        </w:numPr>
      </w:pPr>
      <w:r w:rsidRPr="00EF5699">
        <w:rPr>
          <w:b/>
          <w:bCs/>
        </w:rPr>
        <w:t>Phase 1 (Core Engine):</w:t>
      </w:r>
      <w:r w:rsidRPr="00EF5699">
        <w:t xml:space="preserve"> Build a layout-agnostic rendering engine paired with a Web Component embed system. Implement an unmetered text-response architecture to remove submission throttles on standard fields, creating a compelling value proposition for creators and growth teams.   </w:t>
      </w:r>
    </w:p>
    <w:p w14:paraId="4A49875F" w14:textId="77777777" w:rsidR="00EF5699" w:rsidRPr="00EF5699" w:rsidRDefault="00EF5699" w:rsidP="00EF5699">
      <w:pPr>
        <w:numPr>
          <w:ilvl w:val="0"/>
          <w:numId w:val="4"/>
        </w:numPr>
      </w:pPr>
      <w:r w:rsidRPr="00EF5699">
        <w:rPr>
          <w:b/>
          <w:bCs/>
        </w:rPr>
        <w:t>Phase 2 (Logic &amp; Data Layer):</w:t>
      </w:r>
      <w:r w:rsidRPr="00EF5699">
        <w:t xml:space="preserve"> Integrate native bi-directional sync connectors for Airtable, Notion, and SQL databases, supporting real-time pre-fetching and record updates. Build a visual node-based logic engine with real-time testing capabilities.   </w:t>
      </w:r>
    </w:p>
    <w:p w14:paraId="01DB2A32" w14:textId="77777777" w:rsidR="00EF5699" w:rsidRPr="00EF5699" w:rsidRDefault="00EF5699" w:rsidP="00EF5699">
      <w:pPr>
        <w:numPr>
          <w:ilvl w:val="0"/>
          <w:numId w:val="4"/>
        </w:numPr>
      </w:pPr>
      <w:r w:rsidRPr="00EF5699">
        <w:rPr>
          <w:b/>
          <w:bCs/>
        </w:rPr>
        <w:t>Phase 3 (Enterprise &amp; Conversion Tools):</w:t>
      </w:r>
      <w:r w:rsidRPr="00EF5699">
        <w:t xml:space="preserve"> Roll out field-level auto-saving for partial response recovery, alongside HIPAA-compliant encryption, multi-tier approval chains, and workspace permission controls.   </w:t>
      </w:r>
    </w:p>
    <w:p w14:paraId="4FEE7C1B" w14:textId="77777777" w:rsidR="00EF5699" w:rsidRPr="00EF5699" w:rsidRDefault="00EF5699" w:rsidP="00EF5699">
      <w:r w:rsidRPr="00EF5699">
        <w:t>By aligning pricing with modern cloud infrastructure costs, offering layout flexibility, and supporting bi-directional data flow, a next-generation form builder can effectively address incumbent limitations and capture significant market share in the evolving data collection landscape.   </w:t>
      </w:r>
    </w:p>
    <w:p w14:paraId="5EC8B70D" w14:textId="77777777" w:rsidR="0057416E" w:rsidRDefault="0057416E"/>
    <w:sectPr w:rsidR="00574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w:charset w:val="00"/>
    <w:family w:val="auto"/>
    <w:pitch w:val="variable"/>
    <w:sig w:usb0="2000020F"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77DC0"/>
    <w:multiLevelType w:val="multilevel"/>
    <w:tmpl w:val="FDFC3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B7A48"/>
    <w:multiLevelType w:val="multilevel"/>
    <w:tmpl w:val="E554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36F98"/>
    <w:multiLevelType w:val="multilevel"/>
    <w:tmpl w:val="DD0E0BA2"/>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C4A0FE3"/>
    <w:multiLevelType w:val="hybridMultilevel"/>
    <w:tmpl w:val="4BE28A14"/>
    <w:lvl w:ilvl="0" w:tplc="8DD6CD48">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2058577456">
    <w:abstractNumId w:val="3"/>
  </w:num>
  <w:num w:numId="2" w16cid:durableId="1121412252">
    <w:abstractNumId w:val="2"/>
  </w:num>
  <w:num w:numId="3" w16cid:durableId="999622462">
    <w:abstractNumId w:val="1"/>
  </w:num>
  <w:num w:numId="4" w16cid:durableId="1703241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99"/>
    <w:rsid w:val="00034FDB"/>
    <w:rsid w:val="003A41AE"/>
    <w:rsid w:val="0057416E"/>
    <w:rsid w:val="00AC2E54"/>
    <w:rsid w:val="00D3732B"/>
    <w:rsid w:val="00EF56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24459"/>
  <w15:chartTrackingRefBased/>
  <w15:docId w15:val="{0F835AA6-EFA1-4479-93F2-AAF8D2DC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3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autoRedefine/>
    <w:qFormat/>
    <w:rsid w:val="00D3732B"/>
    <w:pPr>
      <w:numPr>
        <w:numId w:val="2"/>
      </w:numPr>
      <w:pBdr>
        <w:bottom w:val="single" w:sz="12" w:space="1" w:color="auto"/>
      </w:pBdr>
      <w:spacing w:before="400" w:after="200" w:line="360" w:lineRule="auto"/>
      <w:ind w:left="345" w:hanging="360"/>
    </w:pPr>
    <w:rPr>
      <w:rFonts w:ascii="Arial" w:eastAsia="Oswald" w:hAnsi="Arial" w:cs="Arial"/>
      <w:noProof/>
      <w:color w:val="44546A" w:themeColor="text2"/>
      <w:sz w:val="30"/>
      <w:szCs w:val="30"/>
    </w:rPr>
  </w:style>
  <w:style w:type="character" w:customStyle="1" w:styleId="Style1Char">
    <w:name w:val="Style1 Char"/>
    <w:basedOn w:val="Heading1Char"/>
    <w:link w:val="Style1"/>
    <w:rsid w:val="00D3732B"/>
    <w:rPr>
      <w:rFonts w:ascii="Arial" w:eastAsia="Oswald" w:hAnsi="Arial" w:cs="Arial"/>
      <w:noProof/>
      <w:color w:val="44546A" w:themeColor="text2"/>
      <w:sz w:val="30"/>
      <w:szCs w:val="30"/>
    </w:rPr>
  </w:style>
  <w:style w:type="character" w:customStyle="1" w:styleId="Heading1Char">
    <w:name w:val="Heading 1 Char"/>
    <w:basedOn w:val="DefaultParagraphFont"/>
    <w:link w:val="Heading1"/>
    <w:uiPriority w:val="9"/>
    <w:rsid w:val="00D373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699"/>
    <w:rPr>
      <w:rFonts w:eastAsiaTheme="majorEastAsia" w:cstheme="majorBidi"/>
      <w:color w:val="272727" w:themeColor="text1" w:themeTint="D8"/>
    </w:rPr>
  </w:style>
  <w:style w:type="paragraph" w:styleId="Title">
    <w:name w:val="Title"/>
    <w:basedOn w:val="Normal"/>
    <w:next w:val="Normal"/>
    <w:link w:val="TitleChar"/>
    <w:uiPriority w:val="10"/>
    <w:qFormat/>
    <w:rsid w:val="00EF5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699"/>
    <w:pPr>
      <w:spacing w:before="160"/>
      <w:jc w:val="center"/>
    </w:pPr>
    <w:rPr>
      <w:i/>
      <w:iCs/>
      <w:color w:val="404040" w:themeColor="text1" w:themeTint="BF"/>
    </w:rPr>
  </w:style>
  <w:style w:type="character" w:customStyle="1" w:styleId="QuoteChar">
    <w:name w:val="Quote Char"/>
    <w:basedOn w:val="DefaultParagraphFont"/>
    <w:link w:val="Quote"/>
    <w:uiPriority w:val="29"/>
    <w:rsid w:val="00EF5699"/>
    <w:rPr>
      <w:i/>
      <w:iCs/>
      <w:color w:val="404040" w:themeColor="text1" w:themeTint="BF"/>
    </w:rPr>
  </w:style>
  <w:style w:type="paragraph" w:styleId="ListParagraph">
    <w:name w:val="List Paragraph"/>
    <w:basedOn w:val="Normal"/>
    <w:uiPriority w:val="34"/>
    <w:qFormat/>
    <w:rsid w:val="00EF5699"/>
    <w:pPr>
      <w:ind w:left="720"/>
      <w:contextualSpacing/>
    </w:pPr>
  </w:style>
  <w:style w:type="character" w:styleId="IntenseEmphasis">
    <w:name w:val="Intense Emphasis"/>
    <w:basedOn w:val="DefaultParagraphFont"/>
    <w:uiPriority w:val="21"/>
    <w:qFormat/>
    <w:rsid w:val="00EF5699"/>
    <w:rPr>
      <w:i/>
      <w:iCs/>
      <w:color w:val="2F5496" w:themeColor="accent1" w:themeShade="BF"/>
    </w:rPr>
  </w:style>
  <w:style w:type="paragraph" w:styleId="IntenseQuote">
    <w:name w:val="Intense Quote"/>
    <w:basedOn w:val="Normal"/>
    <w:next w:val="Normal"/>
    <w:link w:val="IntenseQuoteChar"/>
    <w:uiPriority w:val="30"/>
    <w:qFormat/>
    <w:rsid w:val="00EF5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699"/>
    <w:rPr>
      <w:i/>
      <w:iCs/>
      <w:color w:val="2F5496" w:themeColor="accent1" w:themeShade="BF"/>
    </w:rPr>
  </w:style>
  <w:style w:type="character" w:styleId="IntenseReference">
    <w:name w:val="Intense Reference"/>
    <w:basedOn w:val="DefaultParagraphFont"/>
    <w:uiPriority w:val="32"/>
    <w:qFormat/>
    <w:rsid w:val="00EF56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3577</Words>
  <Characters>20390</Characters>
  <Application>Microsoft Office Word</Application>
  <DocSecurity>0</DocSecurity>
  <Lines>169</Lines>
  <Paragraphs>47</Paragraphs>
  <ScaleCrop>false</ScaleCrop>
  <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kumar</dc:creator>
  <cp:keywords/>
  <dc:description/>
  <cp:lastModifiedBy>nikhil kumar</cp:lastModifiedBy>
  <cp:revision>1</cp:revision>
  <dcterms:created xsi:type="dcterms:W3CDTF">2026-08-03T05:37:00Z</dcterms:created>
  <dcterms:modified xsi:type="dcterms:W3CDTF">2026-08-03T05:38:00Z</dcterms:modified>
</cp:coreProperties>
</file>