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B33A" w14:textId="05872ED5" w:rsidR="00594AB4" w:rsidRPr="00594AB4" w:rsidRDefault="00803F18">
      <w:pPr>
        <w:spacing w:after="48"/>
        <w:rPr>
          <w:b/>
          <w:color w:val="C8442B"/>
          <w:sz w:val="30"/>
        </w:rPr>
      </w:pPr>
      <w:r>
        <w:rPr>
          <w:b/>
          <w:color w:val="C8442B"/>
          <w:sz w:val="30"/>
        </w:rPr>
        <w:t>MEMO</w:t>
      </w:r>
    </w:p>
    <w:p w14:paraId="28B92313" w14:textId="638CA819" w:rsidR="00FC76ED" w:rsidRPr="00594AB4" w:rsidRDefault="00803F18" w:rsidP="00594AB4">
      <w:pPr>
        <w:pStyle w:val="Heading2"/>
        <w:jc w:val="center"/>
        <w:rPr>
          <w:rFonts w:eastAsia="Calibri"/>
          <w:b/>
          <w:bCs/>
          <w:sz w:val="36"/>
          <w:szCs w:val="36"/>
        </w:rPr>
      </w:pPr>
      <w:r w:rsidRPr="00594AB4">
        <w:rPr>
          <w:rFonts w:eastAsia="Calibri"/>
          <w:b/>
          <w:bCs/>
          <w:sz w:val="36"/>
          <w:szCs w:val="36"/>
        </w:rPr>
        <w:t xml:space="preserve">Why profit fell in Central and South in 2019 </w:t>
      </w:r>
    </w:p>
    <w:p w14:paraId="77D68CFC" w14:textId="77777777" w:rsidR="00594AB4" w:rsidRPr="00594AB4" w:rsidRDefault="00594AB4" w:rsidP="00594AB4">
      <w:pPr>
        <w:pStyle w:val="Heading2"/>
        <w:jc w:val="center"/>
        <w:rPr>
          <w:sz w:val="28"/>
          <w:szCs w:val="28"/>
        </w:rPr>
      </w:pPr>
      <w:r w:rsidRPr="00594AB4">
        <w:rPr>
          <w:rFonts w:eastAsia="Calibri"/>
          <w:sz w:val="28"/>
          <w:szCs w:val="28"/>
        </w:rPr>
        <w:t>(Superstore data, 2016 to 2019, in US dollars)</w:t>
      </w:r>
    </w:p>
    <w:p w14:paraId="618358F5" w14:textId="223D1406" w:rsidR="00FC76ED" w:rsidRDefault="00803F18">
      <w:pPr>
        <w:spacing w:after="0"/>
      </w:pPr>
      <w:r>
        <w:rPr>
          <w:noProof/>
        </w:rPr>
        <mc:AlternateContent>
          <mc:Choice Requires="wpg">
            <w:drawing>
              <wp:anchor distT="0" distB="0" distL="114300" distR="114300" simplePos="0" relativeHeight="251658240" behindDoc="0" locked="0" layoutInCell="1" allowOverlap="1" wp14:anchorId="64D44B2A" wp14:editId="3F548631">
                <wp:simplePos x="0" y="0"/>
                <wp:positionH relativeFrom="page">
                  <wp:posOffset>457200</wp:posOffset>
                </wp:positionH>
                <wp:positionV relativeFrom="page">
                  <wp:posOffset>657235</wp:posOffset>
                </wp:positionV>
                <wp:extent cx="6645275" cy="12700"/>
                <wp:effectExtent l="0" t="0" r="0" b="0"/>
                <wp:wrapTopAndBottom/>
                <wp:docPr id="2811" name="Group 2811"/>
                <wp:cNvGraphicFramePr/>
                <a:graphic xmlns:a="http://schemas.openxmlformats.org/drawingml/2006/main">
                  <a:graphicData uri="http://schemas.microsoft.com/office/word/2010/wordprocessingGroup">
                    <wpg:wgp>
                      <wpg:cNvGrpSpPr/>
                      <wpg:grpSpPr>
                        <a:xfrm>
                          <a:off x="0" y="0"/>
                          <a:ext cx="6645275" cy="12700"/>
                          <a:chOff x="0" y="0"/>
                          <a:chExt cx="6645275" cy="12700"/>
                        </a:xfrm>
                      </wpg:grpSpPr>
                      <wps:wsp>
                        <wps:cNvPr id="143" name="Shape 143"/>
                        <wps:cNvSpPr/>
                        <wps:spPr>
                          <a:xfrm>
                            <a:off x="0" y="0"/>
                            <a:ext cx="6645275" cy="0"/>
                          </a:xfrm>
                          <a:custGeom>
                            <a:avLst/>
                            <a:gdLst/>
                            <a:ahLst/>
                            <a:cxnLst/>
                            <a:rect l="0" t="0" r="0" b="0"/>
                            <a:pathLst>
                              <a:path w="6645275">
                                <a:moveTo>
                                  <a:pt x="6645275" y="0"/>
                                </a:moveTo>
                                <a:lnTo>
                                  <a:pt x="0" y="0"/>
                                </a:lnTo>
                              </a:path>
                            </a:pathLst>
                          </a:custGeom>
                          <a:ln w="12700" cap="flat">
                            <a:round/>
                          </a:ln>
                        </wps:spPr>
                        <wps:style>
                          <a:lnRef idx="1">
                            <a:srgbClr val="C8442B"/>
                          </a:lnRef>
                          <a:fillRef idx="0">
                            <a:srgbClr val="000000">
                              <a:alpha val="0"/>
                            </a:srgbClr>
                          </a:fillRef>
                          <a:effectRef idx="0">
                            <a:scrgbClr r="0" g="0" b="0"/>
                          </a:effectRef>
                          <a:fontRef idx="none"/>
                        </wps:style>
                        <wps:bodyPr/>
                      </wps:wsp>
                      <wps:wsp>
                        <wps:cNvPr id="144" name="Shape 144"/>
                        <wps:cNvSpPr/>
                        <wps:spPr>
                          <a:xfrm>
                            <a:off x="0" y="0"/>
                            <a:ext cx="6645275" cy="0"/>
                          </a:xfrm>
                          <a:custGeom>
                            <a:avLst/>
                            <a:gdLst/>
                            <a:ahLst/>
                            <a:cxnLst/>
                            <a:rect l="0" t="0" r="0" b="0"/>
                            <a:pathLst>
                              <a:path w="6645275">
                                <a:moveTo>
                                  <a:pt x="6645275" y="0"/>
                                </a:moveTo>
                                <a:lnTo>
                                  <a:pt x="0" y="0"/>
                                </a:lnTo>
                              </a:path>
                            </a:pathLst>
                          </a:custGeom>
                          <a:ln w="12700" cap="flat">
                            <a:round/>
                          </a:ln>
                        </wps:spPr>
                        <wps:style>
                          <a:lnRef idx="1">
                            <a:srgbClr val="C8442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11" style="width:523.25pt;height:1pt;position:absolute;mso-position-horizontal-relative:page;mso-position-horizontal:absolute;margin-left:36pt;mso-position-vertical-relative:page;margin-top:51.7508pt;" coordsize="66452,127">
                <v:shape id="Shape 143" style="position:absolute;width:66452;height:0;left:0;top:0;" coordsize="6645275,0" path="m6645275,0l0,0">
                  <v:stroke weight="1pt" endcap="flat" joinstyle="round" on="true" color="#c8442b"/>
                  <v:fill on="false" color="#000000" opacity="0"/>
                </v:shape>
                <v:shape id="Shape 144" style="position:absolute;width:66452;height:0;left:0;top:0;" coordsize="6645275,0" path="m6645275,0l0,0">
                  <v:stroke weight="1pt" endcap="flat" joinstyle="round" on="true" color="#c8442b"/>
                  <v:fill on="false" color="#000000" opacity="0"/>
                </v:shape>
                <w10:wrap type="topAndBottom"/>
              </v:group>
            </w:pict>
          </mc:Fallback>
        </mc:AlternateContent>
      </w:r>
      <w:r>
        <w:rPr>
          <w:b/>
          <w:sz w:val="24"/>
        </w:rPr>
        <w:t>Central and South profit fell sharply in 2019 even though their sales did not collapse. Discounts above 20% are the likely link.</w:t>
      </w:r>
    </w:p>
    <w:tbl>
      <w:tblPr>
        <w:tblStyle w:val="TableGrid"/>
        <w:tblW w:w="10466" w:type="dxa"/>
        <w:tblInd w:w="-2" w:type="dxa"/>
        <w:tblCellMar>
          <w:top w:w="55" w:type="dxa"/>
          <w:left w:w="0" w:type="dxa"/>
          <w:bottom w:w="0" w:type="dxa"/>
          <w:right w:w="18" w:type="dxa"/>
        </w:tblCellMar>
        <w:tblLook w:val="04A0" w:firstRow="1" w:lastRow="0" w:firstColumn="1" w:lastColumn="0" w:noHBand="0" w:noVBand="1"/>
      </w:tblPr>
      <w:tblGrid>
        <w:gridCol w:w="1862"/>
        <w:gridCol w:w="8604"/>
      </w:tblGrid>
      <w:tr w:rsidR="00FC76ED" w14:paraId="152E8EE5" w14:textId="77777777">
        <w:trPr>
          <w:trHeight w:val="898"/>
        </w:trPr>
        <w:tc>
          <w:tcPr>
            <w:tcW w:w="1862" w:type="dxa"/>
            <w:tcBorders>
              <w:top w:val="single" w:sz="4" w:space="0" w:color="BFC5CC"/>
              <w:left w:val="nil"/>
              <w:bottom w:val="single" w:sz="4" w:space="0" w:color="BFC5CC"/>
              <w:right w:val="nil"/>
            </w:tcBorders>
          </w:tcPr>
          <w:p w14:paraId="06F88CAB" w14:textId="77777777" w:rsidR="00FC76ED" w:rsidRDefault="00803F18">
            <w:pPr>
              <w:spacing w:after="0"/>
              <w:ind w:left="62"/>
            </w:pPr>
            <w:r>
              <w:rPr>
                <w:b/>
                <w:color w:val="C8442B"/>
                <w:sz w:val="20"/>
              </w:rPr>
              <w:t>Finding</w:t>
            </w:r>
          </w:p>
        </w:tc>
        <w:tc>
          <w:tcPr>
            <w:tcW w:w="8604" w:type="dxa"/>
            <w:tcBorders>
              <w:top w:val="single" w:sz="4" w:space="0" w:color="BFC5CC"/>
              <w:left w:val="nil"/>
              <w:bottom w:val="single" w:sz="4" w:space="0" w:color="BFC5CC"/>
              <w:right w:val="nil"/>
            </w:tcBorders>
          </w:tcPr>
          <w:p w14:paraId="0839318C" w14:textId="77777777" w:rsidR="00FC76ED" w:rsidRDefault="00803F18">
            <w:pPr>
              <w:spacing w:after="0"/>
            </w:pPr>
            <w:r>
              <w:rPr>
                <w:b/>
                <w:sz w:val="20"/>
              </w:rPr>
              <w:t xml:space="preserve">Central and South lost half or more of their profit in 2019, while East and West grew. </w:t>
            </w:r>
            <w:r>
              <w:rPr>
                <w:sz w:val="20"/>
              </w:rPr>
              <w:t xml:space="preserve">The company as a </w:t>
            </w:r>
            <w:r>
              <w:rPr>
                <w:sz w:val="20"/>
              </w:rPr>
              <w:t>whole still grew, so the problem is local. Discounts above 20% are the strongest lead: their losses grew most in exactly these two regions.</w:t>
            </w:r>
          </w:p>
        </w:tc>
      </w:tr>
      <w:tr w:rsidR="00FC76ED" w14:paraId="16AD8235" w14:textId="77777777">
        <w:trPr>
          <w:trHeight w:val="1704"/>
        </w:trPr>
        <w:tc>
          <w:tcPr>
            <w:tcW w:w="1862" w:type="dxa"/>
            <w:tcBorders>
              <w:top w:val="single" w:sz="4" w:space="0" w:color="BFC5CC"/>
              <w:left w:val="nil"/>
              <w:bottom w:val="single" w:sz="4" w:space="0" w:color="BFC5CC"/>
              <w:right w:val="nil"/>
            </w:tcBorders>
          </w:tcPr>
          <w:p w14:paraId="362CA229" w14:textId="77777777" w:rsidR="00FC76ED" w:rsidRDefault="00803F18">
            <w:pPr>
              <w:spacing w:after="0"/>
              <w:ind w:left="62"/>
            </w:pPr>
            <w:r>
              <w:rPr>
                <w:b/>
                <w:color w:val="C8442B"/>
                <w:sz w:val="20"/>
              </w:rPr>
              <w:t>Number</w:t>
            </w:r>
          </w:p>
        </w:tc>
        <w:tc>
          <w:tcPr>
            <w:tcW w:w="8604" w:type="dxa"/>
            <w:tcBorders>
              <w:top w:val="single" w:sz="4" w:space="0" w:color="BFC5CC"/>
              <w:left w:val="nil"/>
              <w:bottom w:val="single" w:sz="4" w:space="0" w:color="BFC5CC"/>
              <w:right w:val="nil"/>
            </w:tcBorders>
          </w:tcPr>
          <w:p w14:paraId="6955D6DC" w14:textId="77777777" w:rsidR="00FC76ED" w:rsidRDefault="00803F18">
            <w:pPr>
              <w:spacing w:after="20" w:line="252" w:lineRule="auto"/>
            </w:pPr>
            <w:r>
              <w:rPr>
                <w:b/>
                <w:sz w:val="20"/>
              </w:rPr>
              <w:t xml:space="preserve">Central: </w:t>
            </w:r>
            <w:r>
              <w:rPr>
                <w:sz w:val="20"/>
              </w:rPr>
              <w:t>profit fell from $19,899 to $7,551 (down 62%) while sales were flat (down 0.2%). Margin fell from 13.5% to 5.1%.</w:t>
            </w:r>
          </w:p>
          <w:p w14:paraId="1D209934" w14:textId="77777777" w:rsidR="00FC76ED" w:rsidRDefault="00803F18">
            <w:pPr>
              <w:spacing w:after="20" w:line="252" w:lineRule="auto"/>
              <w:ind w:right="21"/>
            </w:pPr>
            <w:r>
              <w:rPr>
                <w:b/>
                <w:sz w:val="20"/>
              </w:rPr>
              <w:t xml:space="preserve">South: </w:t>
            </w:r>
            <w:r>
              <w:rPr>
                <w:sz w:val="20"/>
              </w:rPr>
              <w:t>profit fell from $17,703 to $8,849 (down 50%) even though sales rose 31%. Margin fell from 18.9% to 7.2%.</w:t>
            </w:r>
          </w:p>
          <w:p w14:paraId="06A22D38" w14:textId="77777777" w:rsidR="00FC76ED" w:rsidRDefault="00803F18">
            <w:pPr>
              <w:spacing w:after="0"/>
            </w:pPr>
            <w:r>
              <w:rPr>
                <w:b/>
                <w:sz w:val="20"/>
              </w:rPr>
              <w:t xml:space="preserve">Discounts: </w:t>
            </w:r>
            <w:r>
              <w:rPr>
                <w:sz w:val="20"/>
              </w:rPr>
              <w:t>in the same year, losses on discounts above 20% in these two regions grew from $12,687 to $31,078. That is $18,391 more, about 87% of their combined $21,202 profit drop.</w:t>
            </w:r>
          </w:p>
        </w:tc>
      </w:tr>
      <w:tr w:rsidR="00FC76ED" w14:paraId="215515C1" w14:textId="77777777">
        <w:trPr>
          <w:trHeight w:val="918"/>
        </w:trPr>
        <w:tc>
          <w:tcPr>
            <w:tcW w:w="1862" w:type="dxa"/>
            <w:tcBorders>
              <w:top w:val="single" w:sz="4" w:space="0" w:color="BFC5CC"/>
              <w:left w:val="nil"/>
              <w:bottom w:val="single" w:sz="4" w:space="0" w:color="BFC5CC"/>
              <w:right w:val="nil"/>
            </w:tcBorders>
          </w:tcPr>
          <w:p w14:paraId="1968DBF6" w14:textId="77777777" w:rsidR="00FC76ED" w:rsidRDefault="00803F18">
            <w:pPr>
              <w:spacing w:after="0"/>
              <w:ind w:left="62"/>
            </w:pPr>
            <w:r>
              <w:rPr>
                <w:b/>
                <w:color w:val="C8442B"/>
                <w:sz w:val="20"/>
              </w:rPr>
              <w:t>Ruled out</w:t>
            </w:r>
          </w:p>
        </w:tc>
        <w:tc>
          <w:tcPr>
            <w:tcW w:w="8604" w:type="dxa"/>
            <w:tcBorders>
              <w:top w:val="single" w:sz="4" w:space="0" w:color="BFC5CC"/>
              <w:left w:val="nil"/>
              <w:bottom w:val="single" w:sz="4" w:space="0" w:color="BFC5CC"/>
              <w:right w:val="nil"/>
            </w:tcBorders>
          </w:tcPr>
          <w:p w14:paraId="66CB2263" w14:textId="77777777" w:rsidR="00FC76ED" w:rsidRDefault="00803F18">
            <w:pPr>
              <w:spacing w:after="12"/>
            </w:pPr>
            <w:r>
              <w:rPr>
                <w:b/>
                <w:sz w:val="20"/>
              </w:rPr>
              <w:t xml:space="preserve">Falling sales: </w:t>
            </w:r>
            <w:r>
              <w:rPr>
                <w:sz w:val="20"/>
              </w:rPr>
              <w:t>Central sales did not fall (down 0.2%), yet profit fell 62%.</w:t>
            </w:r>
          </w:p>
          <w:p w14:paraId="19F32EBF" w14:textId="77777777" w:rsidR="00FC76ED" w:rsidRDefault="00803F18">
            <w:pPr>
              <w:spacing w:after="0"/>
            </w:pPr>
            <w:r>
              <w:rPr>
                <w:b/>
                <w:sz w:val="20"/>
              </w:rPr>
              <w:t xml:space="preserve">Seasonality: </w:t>
            </w:r>
            <w:r>
              <w:rPr>
                <w:sz w:val="20"/>
              </w:rPr>
              <w:t>sales drop from March to April every year (2016 down 49.2%, 2017 down 11.7%, 2018 down 25.1%, 2019 down 38.0%). A pattern that repeats yearly cannot explain a one-year regional drop.</w:t>
            </w:r>
          </w:p>
        </w:tc>
      </w:tr>
      <w:tr w:rsidR="00FC76ED" w14:paraId="4D2FF2CB" w14:textId="77777777">
        <w:trPr>
          <w:trHeight w:val="896"/>
        </w:trPr>
        <w:tc>
          <w:tcPr>
            <w:tcW w:w="1862" w:type="dxa"/>
            <w:tcBorders>
              <w:top w:val="single" w:sz="4" w:space="0" w:color="BFC5CC"/>
              <w:left w:val="nil"/>
              <w:bottom w:val="single" w:sz="4" w:space="0" w:color="BFC5CC"/>
              <w:right w:val="nil"/>
            </w:tcBorders>
          </w:tcPr>
          <w:p w14:paraId="583041B6" w14:textId="77777777" w:rsidR="00FC76ED" w:rsidRDefault="00803F18">
            <w:pPr>
              <w:spacing w:after="0"/>
              <w:ind w:left="62"/>
            </w:pPr>
            <w:r>
              <w:rPr>
                <w:b/>
                <w:color w:val="C8442B"/>
                <w:sz w:val="20"/>
              </w:rPr>
              <w:t>Recommendation</w:t>
            </w:r>
          </w:p>
        </w:tc>
        <w:tc>
          <w:tcPr>
            <w:tcW w:w="8604" w:type="dxa"/>
            <w:tcBorders>
              <w:top w:val="single" w:sz="4" w:space="0" w:color="BFC5CC"/>
              <w:left w:val="nil"/>
              <w:bottom w:val="single" w:sz="4" w:space="0" w:color="BFC5CC"/>
              <w:right w:val="nil"/>
            </w:tcBorders>
          </w:tcPr>
          <w:p w14:paraId="4E55D096" w14:textId="77777777" w:rsidR="00FC76ED" w:rsidRDefault="00803F18">
            <w:pPr>
              <w:spacing w:after="0"/>
            </w:pPr>
            <w:r>
              <w:rPr>
                <w:sz w:val="20"/>
              </w:rPr>
              <w:t>Review and cap discounts above 20% in Central and South, starting with the products that carry them. Re-check their margins after one quarter. Separately, plan stock and promotions for April, which is weak every year.</w:t>
            </w:r>
          </w:p>
        </w:tc>
      </w:tr>
      <w:tr w:rsidR="00FC76ED" w14:paraId="6D169064" w14:textId="77777777">
        <w:trPr>
          <w:trHeight w:val="898"/>
        </w:trPr>
        <w:tc>
          <w:tcPr>
            <w:tcW w:w="1862" w:type="dxa"/>
            <w:tcBorders>
              <w:top w:val="single" w:sz="4" w:space="0" w:color="BFC5CC"/>
              <w:left w:val="nil"/>
              <w:bottom w:val="single" w:sz="4" w:space="0" w:color="BFC5CC"/>
              <w:right w:val="nil"/>
            </w:tcBorders>
          </w:tcPr>
          <w:p w14:paraId="43822997" w14:textId="77777777" w:rsidR="00FC76ED" w:rsidRDefault="00803F18">
            <w:pPr>
              <w:spacing w:after="0"/>
              <w:ind w:left="62"/>
            </w:pPr>
            <w:r>
              <w:rPr>
                <w:b/>
                <w:color w:val="C8442B"/>
                <w:sz w:val="20"/>
              </w:rPr>
              <w:t>Risk</w:t>
            </w:r>
          </w:p>
        </w:tc>
        <w:tc>
          <w:tcPr>
            <w:tcW w:w="8604" w:type="dxa"/>
            <w:tcBorders>
              <w:top w:val="single" w:sz="4" w:space="0" w:color="BFC5CC"/>
              <w:left w:val="nil"/>
              <w:bottom w:val="single" w:sz="4" w:space="0" w:color="BFC5CC"/>
              <w:right w:val="nil"/>
            </w:tcBorders>
          </w:tcPr>
          <w:p w14:paraId="73826982" w14:textId="77777777" w:rsidR="00FC76ED" w:rsidRDefault="00803F18">
            <w:pPr>
              <w:spacing w:after="0"/>
              <w:ind w:right="1"/>
            </w:pPr>
            <w:r>
              <w:rPr>
                <w:sz w:val="20"/>
              </w:rPr>
              <w:t>Only four years of data. Discounts are linked to the losses, but the data does not prove they caused the 2019 drop. Costs, shipping and returns were not checked, and regional totals do not show which products are responsible.</w:t>
            </w:r>
          </w:p>
        </w:tc>
      </w:tr>
    </w:tbl>
    <w:p w14:paraId="15AE4963" w14:textId="77777777" w:rsidR="00FC76ED" w:rsidRDefault="00803F18">
      <w:pPr>
        <w:spacing w:after="12"/>
        <w:ind w:left="106" w:right="-119"/>
      </w:pPr>
      <w:r>
        <w:rPr>
          <w:noProof/>
        </w:rPr>
        <mc:AlternateContent>
          <mc:Choice Requires="wpg">
            <w:drawing>
              <wp:inline distT="0" distB="0" distL="0" distR="0" wp14:anchorId="28ACC9EA" wp14:editId="07CACDC2">
                <wp:extent cx="6577317" cy="2056130"/>
                <wp:effectExtent l="0" t="0" r="0" b="0"/>
                <wp:docPr id="2810" name="Group 2810"/>
                <wp:cNvGraphicFramePr/>
                <a:graphic xmlns:a="http://schemas.openxmlformats.org/drawingml/2006/main">
                  <a:graphicData uri="http://schemas.microsoft.com/office/word/2010/wordprocessingGroup">
                    <wpg:wgp>
                      <wpg:cNvGrpSpPr/>
                      <wpg:grpSpPr>
                        <a:xfrm>
                          <a:off x="0" y="0"/>
                          <a:ext cx="6577317" cy="2056130"/>
                          <a:chOff x="0" y="0"/>
                          <a:chExt cx="6577317" cy="2056130"/>
                        </a:xfrm>
                      </wpg:grpSpPr>
                      <pic:pic xmlns:pic="http://schemas.openxmlformats.org/drawingml/2006/picture">
                        <pic:nvPicPr>
                          <pic:cNvPr id="2889" name="Picture 2889"/>
                          <pic:cNvPicPr/>
                        </pic:nvPicPr>
                        <pic:blipFill>
                          <a:blip r:embed="rId4"/>
                          <a:stretch>
                            <a:fillRect/>
                          </a:stretch>
                        </pic:blipFill>
                        <pic:spPr>
                          <a:xfrm>
                            <a:off x="-2539" y="-3057"/>
                            <a:ext cx="3255264" cy="2060448"/>
                          </a:xfrm>
                          <a:prstGeom prst="rect">
                            <a:avLst/>
                          </a:prstGeom>
                        </pic:spPr>
                      </pic:pic>
                      <pic:pic xmlns:pic="http://schemas.openxmlformats.org/drawingml/2006/picture">
                        <pic:nvPicPr>
                          <pic:cNvPr id="2890" name="Picture 2890"/>
                          <pic:cNvPicPr/>
                        </pic:nvPicPr>
                        <pic:blipFill>
                          <a:blip r:embed="rId5"/>
                          <a:stretch>
                            <a:fillRect/>
                          </a:stretch>
                        </pic:blipFill>
                        <pic:spPr>
                          <a:xfrm>
                            <a:off x="3321812" y="-3057"/>
                            <a:ext cx="3255265" cy="2060448"/>
                          </a:xfrm>
                          <a:prstGeom prst="rect">
                            <a:avLst/>
                          </a:prstGeom>
                        </pic:spPr>
                      </pic:pic>
                    </wpg:wgp>
                  </a:graphicData>
                </a:graphic>
              </wp:inline>
            </w:drawing>
          </mc:Choice>
          <mc:Fallback xmlns:a="http://schemas.openxmlformats.org/drawingml/2006/main">
            <w:pict>
              <v:group id="Group 2810" style="width:517.899pt;height:161.9pt;mso-position-horizontal-relative:char;mso-position-vertical-relative:line" coordsize="65773,20561">
                <v:shape id="Picture 2889" style="position:absolute;width:32552;height:20604;left:-25;top:-30;" filled="f">
                  <v:imagedata r:id="rId6"/>
                </v:shape>
                <v:shape id="Picture 2890" style="position:absolute;width:32552;height:20604;left:33218;top:-30;" filled="f">
                  <v:imagedata r:id="rId7"/>
                </v:shape>
              </v:group>
            </w:pict>
          </mc:Fallback>
        </mc:AlternateContent>
      </w:r>
    </w:p>
    <w:p w14:paraId="5A421495" w14:textId="77777777" w:rsidR="00FC76ED" w:rsidRDefault="00803F18">
      <w:pPr>
        <w:spacing w:after="0"/>
      </w:pPr>
      <w:r>
        <w:rPr>
          <w:i/>
          <w:color w:val="555555"/>
          <w:sz w:val="16"/>
        </w:rPr>
        <w:t>Left: Central and South profit dropped in 2019. Right: losses on discounts above 20% grew in the same two regions. Over all four years, discounts above 20% lost $135,376, while low discounts (20% or less) earned $100,785 and no discount earned $320,988.</w:t>
      </w:r>
    </w:p>
    <w:tbl>
      <w:tblPr>
        <w:tblStyle w:val="TableGrid"/>
        <w:tblW w:w="10465" w:type="dxa"/>
        <w:tblInd w:w="-2" w:type="dxa"/>
        <w:tblCellMar>
          <w:top w:w="0" w:type="dxa"/>
          <w:left w:w="0" w:type="dxa"/>
          <w:bottom w:w="0" w:type="dxa"/>
          <w:right w:w="18" w:type="dxa"/>
        </w:tblCellMar>
        <w:tblLook w:val="04A0" w:firstRow="1" w:lastRow="0" w:firstColumn="1" w:lastColumn="0" w:noHBand="0" w:noVBand="1"/>
      </w:tblPr>
      <w:tblGrid>
        <w:gridCol w:w="2163"/>
        <w:gridCol w:w="218"/>
        <w:gridCol w:w="1283"/>
        <w:gridCol w:w="218"/>
        <w:gridCol w:w="1538"/>
        <w:gridCol w:w="142"/>
        <w:gridCol w:w="819"/>
        <w:gridCol w:w="378"/>
        <w:gridCol w:w="1570"/>
        <w:gridCol w:w="627"/>
        <w:gridCol w:w="1509"/>
      </w:tblGrid>
      <w:tr w:rsidR="00FC76ED" w14:paraId="731C1D1D" w14:textId="77777777">
        <w:trPr>
          <w:trHeight w:val="508"/>
        </w:trPr>
        <w:tc>
          <w:tcPr>
            <w:tcW w:w="2163" w:type="dxa"/>
            <w:tcBorders>
              <w:top w:val="single" w:sz="4" w:space="0" w:color="BFC5CC"/>
              <w:left w:val="nil"/>
              <w:bottom w:val="single" w:sz="4" w:space="0" w:color="BFC5CC"/>
              <w:right w:val="nil"/>
            </w:tcBorders>
            <w:shd w:val="clear" w:color="auto" w:fill="EEF0F2"/>
            <w:vAlign w:val="center"/>
          </w:tcPr>
          <w:p w14:paraId="341C8C1E" w14:textId="77777777" w:rsidR="00FC76ED" w:rsidRDefault="00803F18">
            <w:pPr>
              <w:spacing w:after="0"/>
              <w:ind w:left="62"/>
            </w:pPr>
            <w:r>
              <w:rPr>
                <w:b/>
                <w:sz w:val="17"/>
              </w:rPr>
              <w:t>Region</w:t>
            </w:r>
          </w:p>
        </w:tc>
        <w:tc>
          <w:tcPr>
            <w:tcW w:w="1501" w:type="dxa"/>
            <w:gridSpan w:val="2"/>
            <w:tcBorders>
              <w:top w:val="single" w:sz="4" w:space="0" w:color="BFC5CC"/>
              <w:left w:val="nil"/>
              <w:bottom w:val="single" w:sz="4" w:space="0" w:color="BFC5CC"/>
              <w:right w:val="nil"/>
            </w:tcBorders>
            <w:shd w:val="clear" w:color="auto" w:fill="EEF0F2"/>
            <w:vAlign w:val="center"/>
          </w:tcPr>
          <w:p w14:paraId="46383BA1" w14:textId="77777777" w:rsidR="00FC76ED" w:rsidRDefault="00803F18">
            <w:pPr>
              <w:spacing w:after="0"/>
            </w:pPr>
            <w:r>
              <w:rPr>
                <w:b/>
                <w:sz w:val="17"/>
              </w:rPr>
              <w:t>Profit 2018</w:t>
            </w:r>
          </w:p>
        </w:tc>
        <w:tc>
          <w:tcPr>
            <w:tcW w:w="1756" w:type="dxa"/>
            <w:gridSpan w:val="2"/>
            <w:tcBorders>
              <w:top w:val="single" w:sz="4" w:space="0" w:color="BFC5CC"/>
              <w:left w:val="nil"/>
              <w:bottom w:val="single" w:sz="4" w:space="0" w:color="BFC5CC"/>
              <w:right w:val="nil"/>
            </w:tcBorders>
            <w:shd w:val="clear" w:color="auto" w:fill="EEF0F2"/>
            <w:vAlign w:val="center"/>
          </w:tcPr>
          <w:p w14:paraId="76547C6E" w14:textId="77777777" w:rsidR="00FC76ED" w:rsidRDefault="00803F18">
            <w:pPr>
              <w:spacing w:after="0"/>
            </w:pPr>
            <w:r>
              <w:rPr>
                <w:b/>
                <w:sz w:val="17"/>
              </w:rPr>
              <w:t>Profit 2019</w:t>
            </w:r>
          </w:p>
        </w:tc>
        <w:tc>
          <w:tcPr>
            <w:tcW w:w="961" w:type="dxa"/>
            <w:gridSpan w:val="2"/>
            <w:tcBorders>
              <w:top w:val="single" w:sz="4" w:space="0" w:color="BFC5CC"/>
              <w:left w:val="nil"/>
              <w:bottom w:val="single" w:sz="4" w:space="0" w:color="BFC5CC"/>
              <w:right w:val="nil"/>
            </w:tcBorders>
            <w:shd w:val="clear" w:color="auto" w:fill="EEF0F2"/>
            <w:vAlign w:val="center"/>
          </w:tcPr>
          <w:p w14:paraId="22368C36" w14:textId="77777777" w:rsidR="00FC76ED" w:rsidRDefault="00803F18">
            <w:pPr>
              <w:spacing w:after="0"/>
            </w:pPr>
            <w:r>
              <w:rPr>
                <w:b/>
                <w:sz w:val="17"/>
              </w:rPr>
              <w:t>Change</w:t>
            </w:r>
          </w:p>
        </w:tc>
        <w:tc>
          <w:tcPr>
            <w:tcW w:w="1948" w:type="dxa"/>
            <w:gridSpan w:val="2"/>
            <w:tcBorders>
              <w:top w:val="single" w:sz="4" w:space="0" w:color="BFC5CC"/>
              <w:left w:val="nil"/>
              <w:bottom w:val="single" w:sz="4" w:space="0" w:color="BFC5CC"/>
              <w:right w:val="nil"/>
            </w:tcBorders>
            <w:shd w:val="clear" w:color="auto" w:fill="EEF0F2"/>
            <w:vAlign w:val="center"/>
          </w:tcPr>
          <w:p w14:paraId="21ADBE06" w14:textId="77777777" w:rsidR="00FC76ED" w:rsidRDefault="00803F18">
            <w:pPr>
              <w:spacing w:after="0"/>
            </w:pPr>
            <w:r>
              <w:rPr>
                <w:b/>
                <w:sz w:val="17"/>
              </w:rPr>
              <w:t>Margin 2018 to 2019</w:t>
            </w:r>
          </w:p>
        </w:tc>
        <w:tc>
          <w:tcPr>
            <w:tcW w:w="2136" w:type="dxa"/>
            <w:gridSpan w:val="2"/>
            <w:tcBorders>
              <w:top w:val="single" w:sz="4" w:space="0" w:color="BFC5CC"/>
              <w:left w:val="nil"/>
              <w:bottom w:val="single" w:sz="4" w:space="0" w:color="BFC5CC"/>
              <w:right w:val="nil"/>
            </w:tcBorders>
            <w:shd w:val="clear" w:color="auto" w:fill="EEF0F2"/>
          </w:tcPr>
          <w:p w14:paraId="215FADD2" w14:textId="77777777" w:rsidR="00FC76ED" w:rsidRDefault="00803F18">
            <w:pPr>
              <w:spacing w:after="0"/>
              <w:jc w:val="both"/>
            </w:pPr>
            <w:r>
              <w:rPr>
                <w:b/>
                <w:sz w:val="17"/>
              </w:rPr>
              <w:t xml:space="preserve">Loss on discounts above 20%, </w:t>
            </w:r>
          </w:p>
          <w:p w14:paraId="6E9C0942" w14:textId="77777777" w:rsidR="00FC76ED" w:rsidRDefault="00803F18">
            <w:pPr>
              <w:spacing w:after="0"/>
              <w:ind w:right="39"/>
              <w:jc w:val="right"/>
            </w:pPr>
            <w:r>
              <w:rPr>
                <w:b/>
                <w:sz w:val="17"/>
              </w:rPr>
              <w:t>2018 to 2019</w:t>
            </w:r>
          </w:p>
        </w:tc>
      </w:tr>
      <w:tr w:rsidR="00FC76ED" w14:paraId="68EF2CAA" w14:textId="77777777">
        <w:trPr>
          <w:trHeight w:val="290"/>
        </w:trPr>
        <w:tc>
          <w:tcPr>
            <w:tcW w:w="2163" w:type="dxa"/>
            <w:tcBorders>
              <w:top w:val="single" w:sz="4" w:space="0" w:color="BFC5CC"/>
              <w:left w:val="nil"/>
              <w:bottom w:val="single" w:sz="4" w:space="0" w:color="BFC5CC"/>
              <w:right w:val="nil"/>
            </w:tcBorders>
            <w:shd w:val="clear" w:color="auto" w:fill="FBEDEA"/>
          </w:tcPr>
          <w:p w14:paraId="1895D05B" w14:textId="77777777" w:rsidR="00FC76ED" w:rsidRDefault="00803F18">
            <w:pPr>
              <w:spacing w:after="0"/>
              <w:ind w:left="62"/>
            </w:pPr>
            <w:r>
              <w:rPr>
                <w:b/>
                <w:sz w:val="17"/>
              </w:rPr>
              <w:t>Central</w:t>
            </w:r>
          </w:p>
        </w:tc>
        <w:tc>
          <w:tcPr>
            <w:tcW w:w="1501" w:type="dxa"/>
            <w:gridSpan w:val="2"/>
            <w:tcBorders>
              <w:top w:val="single" w:sz="4" w:space="0" w:color="BFC5CC"/>
              <w:left w:val="nil"/>
              <w:bottom w:val="single" w:sz="4" w:space="0" w:color="BFC5CC"/>
              <w:right w:val="nil"/>
            </w:tcBorders>
            <w:shd w:val="clear" w:color="auto" w:fill="FBEDEA"/>
          </w:tcPr>
          <w:p w14:paraId="4666FF69" w14:textId="77777777" w:rsidR="00FC76ED" w:rsidRDefault="00803F18">
            <w:pPr>
              <w:spacing w:after="0"/>
              <w:ind w:left="220"/>
            </w:pPr>
            <w:r>
              <w:rPr>
                <w:sz w:val="17"/>
              </w:rPr>
              <w:t>$19,899</w:t>
            </w:r>
          </w:p>
        </w:tc>
        <w:tc>
          <w:tcPr>
            <w:tcW w:w="1756" w:type="dxa"/>
            <w:gridSpan w:val="2"/>
            <w:tcBorders>
              <w:top w:val="single" w:sz="4" w:space="0" w:color="BFC5CC"/>
              <w:left w:val="nil"/>
              <w:bottom w:val="single" w:sz="4" w:space="0" w:color="BFC5CC"/>
              <w:right w:val="nil"/>
            </w:tcBorders>
            <w:shd w:val="clear" w:color="auto" w:fill="FBEDEA"/>
          </w:tcPr>
          <w:p w14:paraId="78613C81" w14:textId="77777777" w:rsidR="00FC76ED" w:rsidRDefault="00803F18">
            <w:pPr>
              <w:spacing w:after="0"/>
              <w:ind w:left="306"/>
            </w:pPr>
            <w:r>
              <w:rPr>
                <w:sz w:val="17"/>
              </w:rPr>
              <w:t>$7,551</w:t>
            </w:r>
          </w:p>
        </w:tc>
        <w:tc>
          <w:tcPr>
            <w:tcW w:w="961" w:type="dxa"/>
            <w:gridSpan w:val="2"/>
            <w:tcBorders>
              <w:top w:val="single" w:sz="4" w:space="0" w:color="BFC5CC"/>
              <w:left w:val="nil"/>
              <w:bottom w:val="single" w:sz="4" w:space="0" w:color="BFC5CC"/>
              <w:right w:val="nil"/>
            </w:tcBorders>
            <w:shd w:val="clear" w:color="auto" w:fill="FBEDEA"/>
          </w:tcPr>
          <w:p w14:paraId="455B0724" w14:textId="77777777" w:rsidR="00FC76ED" w:rsidRDefault="00803F18">
            <w:pPr>
              <w:spacing w:after="0"/>
              <w:ind w:left="177"/>
            </w:pPr>
            <w:r>
              <w:rPr>
                <w:sz w:val="17"/>
              </w:rPr>
              <w:t>-62%</w:t>
            </w:r>
          </w:p>
        </w:tc>
        <w:tc>
          <w:tcPr>
            <w:tcW w:w="1948" w:type="dxa"/>
            <w:gridSpan w:val="2"/>
            <w:tcBorders>
              <w:top w:val="single" w:sz="4" w:space="0" w:color="BFC5CC"/>
              <w:left w:val="nil"/>
              <w:bottom w:val="single" w:sz="4" w:space="0" w:color="BFC5CC"/>
              <w:right w:val="nil"/>
            </w:tcBorders>
            <w:shd w:val="clear" w:color="auto" w:fill="FBEDEA"/>
          </w:tcPr>
          <w:p w14:paraId="502DC7AB" w14:textId="77777777" w:rsidR="00FC76ED" w:rsidRDefault="00803F18">
            <w:pPr>
              <w:spacing w:after="0"/>
              <w:ind w:left="7"/>
              <w:jc w:val="center"/>
            </w:pPr>
            <w:r>
              <w:rPr>
                <w:sz w:val="17"/>
              </w:rPr>
              <w:t>13.5% to 5.1%</w:t>
            </w:r>
          </w:p>
        </w:tc>
        <w:tc>
          <w:tcPr>
            <w:tcW w:w="2136" w:type="dxa"/>
            <w:gridSpan w:val="2"/>
            <w:tcBorders>
              <w:top w:val="single" w:sz="4" w:space="0" w:color="BFC5CC"/>
              <w:left w:val="nil"/>
              <w:bottom w:val="single" w:sz="4" w:space="0" w:color="BFC5CC"/>
              <w:right w:val="nil"/>
            </w:tcBorders>
            <w:shd w:val="clear" w:color="auto" w:fill="FBEDEA"/>
          </w:tcPr>
          <w:p w14:paraId="0751D1ED" w14:textId="77777777" w:rsidR="00FC76ED" w:rsidRDefault="00803F18">
            <w:pPr>
              <w:spacing w:after="0"/>
              <w:ind w:right="41"/>
              <w:jc w:val="right"/>
            </w:pPr>
            <w:r>
              <w:rPr>
                <w:sz w:val="17"/>
              </w:rPr>
              <w:t>-$10,269 to -$19,552</w:t>
            </w:r>
          </w:p>
        </w:tc>
      </w:tr>
      <w:tr w:rsidR="00FC76ED" w14:paraId="40FA3DE7" w14:textId="77777777">
        <w:trPr>
          <w:trHeight w:val="288"/>
        </w:trPr>
        <w:tc>
          <w:tcPr>
            <w:tcW w:w="2163" w:type="dxa"/>
            <w:tcBorders>
              <w:top w:val="single" w:sz="4" w:space="0" w:color="BFC5CC"/>
              <w:left w:val="nil"/>
              <w:bottom w:val="single" w:sz="4" w:space="0" w:color="BFC5CC"/>
              <w:right w:val="nil"/>
            </w:tcBorders>
            <w:shd w:val="clear" w:color="auto" w:fill="FBEDEA"/>
          </w:tcPr>
          <w:p w14:paraId="3A915F1C" w14:textId="77777777" w:rsidR="00FC76ED" w:rsidRDefault="00803F18">
            <w:pPr>
              <w:spacing w:after="0"/>
              <w:ind w:left="62"/>
            </w:pPr>
            <w:r>
              <w:rPr>
                <w:b/>
                <w:sz w:val="17"/>
              </w:rPr>
              <w:t>South</w:t>
            </w:r>
          </w:p>
        </w:tc>
        <w:tc>
          <w:tcPr>
            <w:tcW w:w="1501" w:type="dxa"/>
            <w:gridSpan w:val="2"/>
            <w:tcBorders>
              <w:top w:val="single" w:sz="4" w:space="0" w:color="BFC5CC"/>
              <w:left w:val="nil"/>
              <w:bottom w:val="single" w:sz="4" w:space="0" w:color="BFC5CC"/>
              <w:right w:val="nil"/>
            </w:tcBorders>
            <w:shd w:val="clear" w:color="auto" w:fill="FBEDEA"/>
          </w:tcPr>
          <w:p w14:paraId="75FA777B" w14:textId="77777777" w:rsidR="00FC76ED" w:rsidRDefault="00803F18">
            <w:pPr>
              <w:spacing w:after="0"/>
              <w:ind w:left="220"/>
            </w:pPr>
            <w:r>
              <w:rPr>
                <w:sz w:val="17"/>
              </w:rPr>
              <w:t>$17,703</w:t>
            </w:r>
          </w:p>
        </w:tc>
        <w:tc>
          <w:tcPr>
            <w:tcW w:w="1756" w:type="dxa"/>
            <w:gridSpan w:val="2"/>
            <w:tcBorders>
              <w:top w:val="single" w:sz="4" w:space="0" w:color="BFC5CC"/>
              <w:left w:val="nil"/>
              <w:bottom w:val="single" w:sz="4" w:space="0" w:color="BFC5CC"/>
              <w:right w:val="nil"/>
            </w:tcBorders>
            <w:shd w:val="clear" w:color="auto" w:fill="FBEDEA"/>
          </w:tcPr>
          <w:p w14:paraId="24C6A05F" w14:textId="77777777" w:rsidR="00FC76ED" w:rsidRDefault="00803F18">
            <w:pPr>
              <w:spacing w:after="0"/>
              <w:ind w:left="306"/>
            </w:pPr>
            <w:r>
              <w:rPr>
                <w:sz w:val="17"/>
              </w:rPr>
              <w:t>$8,849</w:t>
            </w:r>
          </w:p>
        </w:tc>
        <w:tc>
          <w:tcPr>
            <w:tcW w:w="961" w:type="dxa"/>
            <w:gridSpan w:val="2"/>
            <w:tcBorders>
              <w:top w:val="single" w:sz="4" w:space="0" w:color="BFC5CC"/>
              <w:left w:val="nil"/>
              <w:bottom w:val="single" w:sz="4" w:space="0" w:color="BFC5CC"/>
              <w:right w:val="nil"/>
            </w:tcBorders>
            <w:shd w:val="clear" w:color="auto" w:fill="FBEDEA"/>
          </w:tcPr>
          <w:p w14:paraId="73032B8F" w14:textId="77777777" w:rsidR="00FC76ED" w:rsidRDefault="00803F18">
            <w:pPr>
              <w:spacing w:after="0"/>
              <w:ind w:left="177"/>
            </w:pPr>
            <w:r>
              <w:rPr>
                <w:sz w:val="17"/>
              </w:rPr>
              <w:t>-50%</w:t>
            </w:r>
          </w:p>
        </w:tc>
        <w:tc>
          <w:tcPr>
            <w:tcW w:w="1948" w:type="dxa"/>
            <w:gridSpan w:val="2"/>
            <w:tcBorders>
              <w:top w:val="single" w:sz="4" w:space="0" w:color="BFC5CC"/>
              <w:left w:val="nil"/>
              <w:bottom w:val="single" w:sz="4" w:space="0" w:color="BFC5CC"/>
              <w:right w:val="nil"/>
            </w:tcBorders>
            <w:shd w:val="clear" w:color="auto" w:fill="FBEDEA"/>
          </w:tcPr>
          <w:p w14:paraId="5BAAFEFD" w14:textId="77777777" w:rsidR="00FC76ED" w:rsidRDefault="00803F18">
            <w:pPr>
              <w:spacing w:after="0"/>
              <w:ind w:left="7"/>
              <w:jc w:val="center"/>
            </w:pPr>
            <w:r>
              <w:rPr>
                <w:sz w:val="17"/>
              </w:rPr>
              <w:t>18.9% to 7.2%</w:t>
            </w:r>
          </w:p>
        </w:tc>
        <w:tc>
          <w:tcPr>
            <w:tcW w:w="2136" w:type="dxa"/>
            <w:gridSpan w:val="2"/>
            <w:tcBorders>
              <w:top w:val="single" w:sz="4" w:space="0" w:color="BFC5CC"/>
              <w:left w:val="nil"/>
              <w:bottom w:val="single" w:sz="4" w:space="0" w:color="BFC5CC"/>
              <w:right w:val="nil"/>
            </w:tcBorders>
            <w:shd w:val="clear" w:color="auto" w:fill="FBEDEA"/>
          </w:tcPr>
          <w:p w14:paraId="4A051B6F" w14:textId="77777777" w:rsidR="00FC76ED" w:rsidRDefault="00803F18">
            <w:pPr>
              <w:spacing w:after="0"/>
              <w:ind w:right="41"/>
              <w:jc w:val="right"/>
            </w:pPr>
            <w:r>
              <w:rPr>
                <w:sz w:val="17"/>
              </w:rPr>
              <w:t>-$2,418 to -$11,526</w:t>
            </w:r>
          </w:p>
        </w:tc>
      </w:tr>
      <w:tr w:rsidR="00FC76ED" w14:paraId="54D3BE76" w14:textId="77777777">
        <w:trPr>
          <w:trHeight w:val="254"/>
        </w:trPr>
        <w:tc>
          <w:tcPr>
            <w:tcW w:w="2381" w:type="dxa"/>
            <w:gridSpan w:val="2"/>
            <w:tcBorders>
              <w:top w:val="nil"/>
              <w:left w:val="nil"/>
              <w:bottom w:val="single" w:sz="4" w:space="0" w:color="BFC5CC"/>
              <w:right w:val="nil"/>
            </w:tcBorders>
          </w:tcPr>
          <w:p w14:paraId="5B2592D2" w14:textId="77777777" w:rsidR="00FC76ED" w:rsidRDefault="00803F18">
            <w:pPr>
              <w:spacing w:after="0"/>
              <w:ind w:left="62"/>
            </w:pPr>
            <w:r>
              <w:rPr>
                <w:sz w:val="17"/>
              </w:rPr>
              <w:t>East</w:t>
            </w:r>
          </w:p>
        </w:tc>
        <w:tc>
          <w:tcPr>
            <w:tcW w:w="1501" w:type="dxa"/>
            <w:gridSpan w:val="2"/>
            <w:tcBorders>
              <w:top w:val="nil"/>
              <w:left w:val="nil"/>
              <w:bottom w:val="single" w:sz="4" w:space="0" w:color="BFC5CC"/>
              <w:right w:val="nil"/>
            </w:tcBorders>
          </w:tcPr>
          <w:p w14:paraId="4B7E5C34" w14:textId="77777777" w:rsidR="00FC76ED" w:rsidRDefault="00803F18">
            <w:pPr>
              <w:spacing w:after="0"/>
              <w:ind w:left="2"/>
            </w:pPr>
            <w:r>
              <w:rPr>
                <w:sz w:val="17"/>
              </w:rPr>
              <w:t>$20,142</w:t>
            </w:r>
          </w:p>
        </w:tc>
        <w:tc>
          <w:tcPr>
            <w:tcW w:w="1680" w:type="dxa"/>
            <w:gridSpan w:val="2"/>
            <w:tcBorders>
              <w:top w:val="nil"/>
              <w:left w:val="nil"/>
              <w:bottom w:val="single" w:sz="4" w:space="0" w:color="BFC5CC"/>
              <w:right w:val="nil"/>
            </w:tcBorders>
          </w:tcPr>
          <w:p w14:paraId="49A40F88" w14:textId="77777777" w:rsidR="00FC76ED" w:rsidRDefault="00803F18">
            <w:pPr>
              <w:spacing w:after="0"/>
              <w:ind w:left="2"/>
            </w:pPr>
            <w:r>
              <w:rPr>
                <w:sz w:val="17"/>
              </w:rPr>
              <w:t>$33,231</w:t>
            </w:r>
          </w:p>
        </w:tc>
        <w:tc>
          <w:tcPr>
            <w:tcW w:w="1197" w:type="dxa"/>
            <w:gridSpan w:val="2"/>
            <w:tcBorders>
              <w:top w:val="nil"/>
              <w:left w:val="nil"/>
              <w:bottom w:val="single" w:sz="4" w:space="0" w:color="BFC5CC"/>
              <w:right w:val="nil"/>
            </w:tcBorders>
          </w:tcPr>
          <w:p w14:paraId="35F4A9AD" w14:textId="77777777" w:rsidR="00FC76ED" w:rsidRDefault="00803F18">
            <w:pPr>
              <w:spacing w:after="0"/>
              <w:ind w:left="2"/>
            </w:pPr>
            <w:r>
              <w:rPr>
                <w:sz w:val="17"/>
              </w:rPr>
              <w:t>+65%</w:t>
            </w:r>
          </w:p>
        </w:tc>
        <w:tc>
          <w:tcPr>
            <w:tcW w:w="2197" w:type="dxa"/>
            <w:gridSpan w:val="2"/>
            <w:tcBorders>
              <w:top w:val="nil"/>
              <w:left w:val="nil"/>
              <w:bottom w:val="single" w:sz="4" w:space="0" w:color="BFC5CC"/>
              <w:right w:val="nil"/>
            </w:tcBorders>
          </w:tcPr>
          <w:p w14:paraId="061E2074" w14:textId="77777777" w:rsidR="00FC76ED" w:rsidRDefault="00803F18">
            <w:pPr>
              <w:spacing w:after="0"/>
              <w:ind w:left="14"/>
            </w:pPr>
            <w:r>
              <w:rPr>
                <w:sz w:val="17"/>
              </w:rPr>
              <w:t>11.1% to 15.6%</w:t>
            </w:r>
          </w:p>
        </w:tc>
        <w:tc>
          <w:tcPr>
            <w:tcW w:w="1509" w:type="dxa"/>
            <w:tcBorders>
              <w:top w:val="nil"/>
              <w:left w:val="nil"/>
              <w:bottom w:val="single" w:sz="4" w:space="0" w:color="BFC5CC"/>
              <w:right w:val="nil"/>
            </w:tcBorders>
          </w:tcPr>
          <w:p w14:paraId="4CCFA402" w14:textId="77777777" w:rsidR="00FC76ED" w:rsidRDefault="00803F18">
            <w:pPr>
              <w:spacing w:after="0"/>
              <w:ind w:left="93"/>
            </w:pPr>
            <w:r>
              <w:rPr>
                <w:sz w:val="17"/>
              </w:rPr>
              <w:t>-$14,168 to -$9,447</w:t>
            </w:r>
          </w:p>
        </w:tc>
      </w:tr>
      <w:tr w:rsidR="00FC76ED" w14:paraId="66905A4D" w14:textId="77777777">
        <w:trPr>
          <w:trHeight w:val="290"/>
        </w:trPr>
        <w:tc>
          <w:tcPr>
            <w:tcW w:w="2381" w:type="dxa"/>
            <w:gridSpan w:val="2"/>
            <w:tcBorders>
              <w:top w:val="single" w:sz="4" w:space="0" w:color="BFC5CC"/>
              <w:left w:val="nil"/>
              <w:bottom w:val="single" w:sz="4" w:space="0" w:color="BFC5CC"/>
              <w:right w:val="nil"/>
            </w:tcBorders>
          </w:tcPr>
          <w:p w14:paraId="5A3E979F" w14:textId="77777777" w:rsidR="00FC76ED" w:rsidRDefault="00803F18">
            <w:pPr>
              <w:spacing w:after="0"/>
              <w:ind w:left="62"/>
            </w:pPr>
            <w:r>
              <w:rPr>
                <w:sz w:val="17"/>
              </w:rPr>
              <w:t>West</w:t>
            </w:r>
          </w:p>
        </w:tc>
        <w:tc>
          <w:tcPr>
            <w:tcW w:w="1501" w:type="dxa"/>
            <w:gridSpan w:val="2"/>
            <w:tcBorders>
              <w:top w:val="single" w:sz="4" w:space="0" w:color="BFC5CC"/>
              <w:left w:val="nil"/>
              <w:bottom w:val="single" w:sz="4" w:space="0" w:color="BFC5CC"/>
              <w:right w:val="nil"/>
            </w:tcBorders>
          </w:tcPr>
          <w:p w14:paraId="2E4B980A" w14:textId="77777777" w:rsidR="00FC76ED" w:rsidRDefault="00803F18">
            <w:pPr>
              <w:spacing w:after="0"/>
              <w:ind w:left="2"/>
            </w:pPr>
            <w:r>
              <w:rPr>
                <w:sz w:val="17"/>
              </w:rPr>
              <w:t>$24,052</w:t>
            </w:r>
          </w:p>
        </w:tc>
        <w:tc>
          <w:tcPr>
            <w:tcW w:w="1680" w:type="dxa"/>
            <w:gridSpan w:val="2"/>
            <w:tcBorders>
              <w:top w:val="single" w:sz="4" w:space="0" w:color="BFC5CC"/>
              <w:left w:val="nil"/>
              <w:bottom w:val="single" w:sz="4" w:space="0" w:color="BFC5CC"/>
              <w:right w:val="nil"/>
            </w:tcBorders>
          </w:tcPr>
          <w:p w14:paraId="251472FA" w14:textId="77777777" w:rsidR="00FC76ED" w:rsidRDefault="00803F18">
            <w:pPr>
              <w:spacing w:after="0"/>
              <w:ind w:left="2"/>
            </w:pPr>
            <w:r>
              <w:rPr>
                <w:sz w:val="17"/>
              </w:rPr>
              <w:t>$43,809</w:t>
            </w:r>
          </w:p>
        </w:tc>
        <w:tc>
          <w:tcPr>
            <w:tcW w:w="1197" w:type="dxa"/>
            <w:gridSpan w:val="2"/>
            <w:tcBorders>
              <w:top w:val="single" w:sz="4" w:space="0" w:color="BFC5CC"/>
              <w:left w:val="nil"/>
              <w:bottom w:val="single" w:sz="4" w:space="0" w:color="BFC5CC"/>
              <w:right w:val="nil"/>
            </w:tcBorders>
          </w:tcPr>
          <w:p w14:paraId="1C8BB544" w14:textId="77777777" w:rsidR="00FC76ED" w:rsidRDefault="00803F18">
            <w:pPr>
              <w:spacing w:after="0"/>
              <w:ind w:left="2"/>
            </w:pPr>
            <w:r>
              <w:rPr>
                <w:sz w:val="17"/>
              </w:rPr>
              <w:t>+82%</w:t>
            </w:r>
          </w:p>
        </w:tc>
        <w:tc>
          <w:tcPr>
            <w:tcW w:w="2197" w:type="dxa"/>
            <w:gridSpan w:val="2"/>
            <w:tcBorders>
              <w:top w:val="single" w:sz="4" w:space="0" w:color="BFC5CC"/>
              <w:left w:val="nil"/>
              <w:bottom w:val="single" w:sz="4" w:space="0" w:color="BFC5CC"/>
              <w:right w:val="nil"/>
            </w:tcBorders>
          </w:tcPr>
          <w:p w14:paraId="36B5C061" w14:textId="77777777" w:rsidR="00FC76ED" w:rsidRDefault="00803F18">
            <w:pPr>
              <w:spacing w:after="0"/>
              <w:ind w:left="14"/>
            </w:pPr>
            <w:r>
              <w:rPr>
                <w:sz w:val="17"/>
              </w:rPr>
              <w:t>12.8% to 17.5%</w:t>
            </w:r>
          </w:p>
        </w:tc>
        <w:tc>
          <w:tcPr>
            <w:tcW w:w="1509" w:type="dxa"/>
            <w:tcBorders>
              <w:top w:val="single" w:sz="4" w:space="0" w:color="BFC5CC"/>
              <w:left w:val="nil"/>
              <w:bottom w:val="single" w:sz="4" w:space="0" w:color="BFC5CC"/>
              <w:right w:val="nil"/>
            </w:tcBorders>
          </w:tcPr>
          <w:p w14:paraId="75A2186F" w14:textId="77777777" w:rsidR="00FC76ED" w:rsidRDefault="00803F18">
            <w:pPr>
              <w:spacing w:after="0"/>
              <w:jc w:val="right"/>
            </w:pPr>
            <w:r>
              <w:rPr>
                <w:sz w:val="17"/>
              </w:rPr>
              <w:t>-$4,503 to -$7,045</w:t>
            </w:r>
          </w:p>
        </w:tc>
      </w:tr>
      <w:tr w:rsidR="00FC76ED" w14:paraId="51083CB6" w14:textId="77777777">
        <w:trPr>
          <w:trHeight w:val="288"/>
        </w:trPr>
        <w:tc>
          <w:tcPr>
            <w:tcW w:w="2381" w:type="dxa"/>
            <w:gridSpan w:val="2"/>
            <w:tcBorders>
              <w:top w:val="single" w:sz="4" w:space="0" w:color="BFC5CC"/>
              <w:left w:val="nil"/>
              <w:bottom w:val="single" w:sz="4" w:space="0" w:color="BFC5CC"/>
              <w:right w:val="nil"/>
            </w:tcBorders>
          </w:tcPr>
          <w:p w14:paraId="4AE51F1A" w14:textId="77777777" w:rsidR="00FC76ED" w:rsidRDefault="00803F18">
            <w:pPr>
              <w:spacing w:after="0"/>
              <w:ind w:left="62"/>
            </w:pPr>
            <w:r>
              <w:rPr>
                <w:b/>
                <w:sz w:val="17"/>
              </w:rPr>
              <w:t>Company</w:t>
            </w:r>
          </w:p>
        </w:tc>
        <w:tc>
          <w:tcPr>
            <w:tcW w:w="1501" w:type="dxa"/>
            <w:gridSpan w:val="2"/>
            <w:tcBorders>
              <w:top w:val="single" w:sz="4" w:space="0" w:color="BFC5CC"/>
              <w:left w:val="nil"/>
              <w:bottom w:val="single" w:sz="4" w:space="0" w:color="BFC5CC"/>
              <w:right w:val="nil"/>
            </w:tcBorders>
          </w:tcPr>
          <w:p w14:paraId="52E70E32" w14:textId="77777777" w:rsidR="00FC76ED" w:rsidRDefault="00803F18">
            <w:pPr>
              <w:spacing w:after="0"/>
            </w:pPr>
            <w:r>
              <w:rPr>
                <w:b/>
                <w:sz w:val="17"/>
              </w:rPr>
              <w:t>$81,795</w:t>
            </w:r>
          </w:p>
        </w:tc>
        <w:tc>
          <w:tcPr>
            <w:tcW w:w="1680" w:type="dxa"/>
            <w:gridSpan w:val="2"/>
            <w:tcBorders>
              <w:top w:val="single" w:sz="4" w:space="0" w:color="BFC5CC"/>
              <w:left w:val="nil"/>
              <w:bottom w:val="single" w:sz="4" w:space="0" w:color="BFC5CC"/>
              <w:right w:val="nil"/>
            </w:tcBorders>
          </w:tcPr>
          <w:p w14:paraId="051887A2" w14:textId="77777777" w:rsidR="00FC76ED" w:rsidRDefault="00803F18">
            <w:pPr>
              <w:spacing w:after="0"/>
            </w:pPr>
            <w:r>
              <w:rPr>
                <w:b/>
                <w:sz w:val="17"/>
              </w:rPr>
              <w:t>$93,439</w:t>
            </w:r>
          </w:p>
        </w:tc>
        <w:tc>
          <w:tcPr>
            <w:tcW w:w="1197" w:type="dxa"/>
            <w:gridSpan w:val="2"/>
            <w:tcBorders>
              <w:top w:val="single" w:sz="4" w:space="0" w:color="BFC5CC"/>
              <w:left w:val="nil"/>
              <w:bottom w:val="single" w:sz="4" w:space="0" w:color="BFC5CC"/>
              <w:right w:val="nil"/>
            </w:tcBorders>
          </w:tcPr>
          <w:p w14:paraId="191801CF" w14:textId="77777777" w:rsidR="00FC76ED" w:rsidRDefault="00803F18">
            <w:pPr>
              <w:spacing w:after="0"/>
            </w:pPr>
            <w:r>
              <w:rPr>
                <w:b/>
                <w:sz w:val="17"/>
              </w:rPr>
              <w:t>+14%</w:t>
            </w:r>
          </w:p>
        </w:tc>
        <w:tc>
          <w:tcPr>
            <w:tcW w:w="2197" w:type="dxa"/>
            <w:gridSpan w:val="2"/>
            <w:tcBorders>
              <w:top w:val="single" w:sz="4" w:space="0" w:color="BFC5CC"/>
              <w:left w:val="nil"/>
              <w:bottom w:val="single" w:sz="4" w:space="0" w:color="BFC5CC"/>
              <w:right w:val="nil"/>
            </w:tcBorders>
          </w:tcPr>
          <w:p w14:paraId="490A1F44" w14:textId="77777777" w:rsidR="00FC76ED" w:rsidRDefault="00803F18">
            <w:pPr>
              <w:spacing w:after="0"/>
            </w:pPr>
            <w:r>
              <w:rPr>
                <w:b/>
                <w:sz w:val="17"/>
              </w:rPr>
              <w:t>13.4% to 12.7%</w:t>
            </w:r>
          </w:p>
        </w:tc>
        <w:tc>
          <w:tcPr>
            <w:tcW w:w="1509" w:type="dxa"/>
            <w:tcBorders>
              <w:top w:val="single" w:sz="4" w:space="0" w:color="BFC5CC"/>
              <w:left w:val="nil"/>
              <w:bottom w:val="single" w:sz="4" w:space="0" w:color="BFC5CC"/>
              <w:right w:val="nil"/>
            </w:tcBorders>
          </w:tcPr>
          <w:p w14:paraId="245E4EF8" w14:textId="77777777" w:rsidR="00FC76ED" w:rsidRDefault="00803F18">
            <w:pPr>
              <w:spacing w:after="0"/>
              <w:jc w:val="both"/>
            </w:pPr>
            <w:r>
              <w:rPr>
                <w:b/>
                <w:sz w:val="17"/>
              </w:rPr>
              <w:t>-$31,357 to -$47,570</w:t>
            </w:r>
          </w:p>
        </w:tc>
      </w:tr>
      <w:tr w:rsidR="00594AB4" w14:paraId="7622705A" w14:textId="77777777">
        <w:trPr>
          <w:trHeight w:val="288"/>
        </w:trPr>
        <w:tc>
          <w:tcPr>
            <w:tcW w:w="2381" w:type="dxa"/>
            <w:gridSpan w:val="2"/>
            <w:tcBorders>
              <w:top w:val="single" w:sz="4" w:space="0" w:color="BFC5CC"/>
              <w:left w:val="nil"/>
              <w:bottom w:val="single" w:sz="4" w:space="0" w:color="BFC5CC"/>
              <w:right w:val="nil"/>
            </w:tcBorders>
          </w:tcPr>
          <w:p w14:paraId="1C55D32C" w14:textId="77777777" w:rsidR="00594AB4" w:rsidRDefault="00594AB4" w:rsidP="00594AB4">
            <w:pPr>
              <w:spacing w:after="0"/>
              <w:rPr>
                <w:b/>
                <w:sz w:val="17"/>
              </w:rPr>
            </w:pPr>
          </w:p>
        </w:tc>
        <w:tc>
          <w:tcPr>
            <w:tcW w:w="1501" w:type="dxa"/>
            <w:gridSpan w:val="2"/>
            <w:tcBorders>
              <w:top w:val="single" w:sz="4" w:space="0" w:color="BFC5CC"/>
              <w:left w:val="nil"/>
              <w:bottom w:val="single" w:sz="4" w:space="0" w:color="BFC5CC"/>
              <w:right w:val="nil"/>
            </w:tcBorders>
          </w:tcPr>
          <w:p w14:paraId="239306FE" w14:textId="77777777" w:rsidR="00594AB4" w:rsidRDefault="00594AB4">
            <w:pPr>
              <w:spacing w:after="0"/>
              <w:rPr>
                <w:b/>
                <w:sz w:val="17"/>
              </w:rPr>
            </w:pPr>
          </w:p>
        </w:tc>
        <w:tc>
          <w:tcPr>
            <w:tcW w:w="1680" w:type="dxa"/>
            <w:gridSpan w:val="2"/>
            <w:tcBorders>
              <w:top w:val="single" w:sz="4" w:space="0" w:color="BFC5CC"/>
              <w:left w:val="nil"/>
              <w:bottom w:val="single" w:sz="4" w:space="0" w:color="BFC5CC"/>
              <w:right w:val="nil"/>
            </w:tcBorders>
          </w:tcPr>
          <w:p w14:paraId="5A80071A" w14:textId="77777777" w:rsidR="00594AB4" w:rsidRDefault="00594AB4">
            <w:pPr>
              <w:spacing w:after="0"/>
              <w:rPr>
                <w:b/>
                <w:sz w:val="17"/>
              </w:rPr>
            </w:pPr>
          </w:p>
        </w:tc>
        <w:tc>
          <w:tcPr>
            <w:tcW w:w="1197" w:type="dxa"/>
            <w:gridSpan w:val="2"/>
            <w:tcBorders>
              <w:top w:val="single" w:sz="4" w:space="0" w:color="BFC5CC"/>
              <w:left w:val="nil"/>
              <w:bottom w:val="single" w:sz="4" w:space="0" w:color="BFC5CC"/>
              <w:right w:val="nil"/>
            </w:tcBorders>
          </w:tcPr>
          <w:p w14:paraId="7C9D5F90" w14:textId="77777777" w:rsidR="00594AB4" w:rsidRDefault="00594AB4">
            <w:pPr>
              <w:spacing w:after="0"/>
              <w:rPr>
                <w:b/>
                <w:sz w:val="17"/>
              </w:rPr>
            </w:pPr>
          </w:p>
        </w:tc>
        <w:tc>
          <w:tcPr>
            <w:tcW w:w="2197" w:type="dxa"/>
            <w:gridSpan w:val="2"/>
            <w:tcBorders>
              <w:top w:val="single" w:sz="4" w:space="0" w:color="BFC5CC"/>
              <w:left w:val="nil"/>
              <w:bottom w:val="single" w:sz="4" w:space="0" w:color="BFC5CC"/>
              <w:right w:val="nil"/>
            </w:tcBorders>
          </w:tcPr>
          <w:p w14:paraId="3C67FF77" w14:textId="77777777" w:rsidR="00594AB4" w:rsidRDefault="00594AB4">
            <w:pPr>
              <w:spacing w:after="0"/>
              <w:rPr>
                <w:b/>
                <w:sz w:val="17"/>
              </w:rPr>
            </w:pPr>
          </w:p>
        </w:tc>
        <w:tc>
          <w:tcPr>
            <w:tcW w:w="1509" w:type="dxa"/>
            <w:tcBorders>
              <w:top w:val="single" w:sz="4" w:space="0" w:color="BFC5CC"/>
              <w:left w:val="nil"/>
              <w:bottom w:val="single" w:sz="4" w:space="0" w:color="BFC5CC"/>
              <w:right w:val="nil"/>
            </w:tcBorders>
          </w:tcPr>
          <w:p w14:paraId="7CC03E49" w14:textId="77777777" w:rsidR="00594AB4" w:rsidRDefault="00594AB4">
            <w:pPr>
              <w:spacing w:after="0"/>
              <w:jc w:val="both"/>
              <w:rPr>
                <w:b/>
                <w:sz w:val="17"/>
              </w:rPr>
            </w:pPr>
          </w:p>
        </w:tc>
      </w:tr>
    </w:tbl>
    <w:p w14:paraId="440DE9EF" w14:textId="6E43DE22" w:rsidR="00FC76ED" w:rsidRDefault="00594AB4" w:rsidP="00594AB4">
      <w:pPr>
        <w:spacing w:after="0" w:line="252" w:lineRule="auto"/>
      </w:pPr>
      <w:r>
        <w:t xml:space="preserve">From Nikhil kumar – Data analyst </w:t>
      </w:r>
    </w:p>
    <w:p w14:paraId="5773427B" w14:textId="77777777" w:rsidR="00594AB4" w:rsidRDefault="00594AB4" w:rsidP="00594AB4">
      <w:pPr>
        <w:spacing w:after="0" w:line="252" w:lineRule="auto"/>
      </w:pPr>
    </w:p>
    <w:sectPr w:rsidR="00594AB4">
      <w:pgSz w:w="11906" w:h="16838"/>
      <w:pgMar w:top="1440" w:right="839" w:bottom="1440" w:left="72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6ED"/>
    <w:rsid w:val="00293082"/>
    <w:rsid w:val="00594AB4"/>
    <w:rsid w:val="00803F18"/>
    <w:rsid w:val="00FC7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6A80E"/>
  <w15:docId w15:val="{FA5C5B23-87B0-4DD7-A5E6-31F0E3D61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unhideWhenUsed/>
    <w:qFormat/>
    <w:rsid w:val="00594A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594AB4"/>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94AB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94AB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353</Words>
  <Characters>2015</Characters>
  <Application>Microsoft Office Word</Application>
  <DocSecurity>0</DocSecurity>
  <Lines>16</Lines>
  <Paragraphs>4</Paragraphs>
  <ScaleCrop>false</ScaleCrop>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Nikhil kumar</cp:lastModifiedBy>
  <cp:revision>2</cp:revision>
  <dcterms:created xsi:type="dcterms:W3CDTF">2026-10-23T08:49:00Z</dcterms:created>
  <dcterms:modified xsi:type="dcterms:W3CDTF">2026-10-23T08:49:00Z</dcterms:modified>
</cp:coreProperties>
</file>