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63A8452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19B5F7E" w:rsidR="00BD1D43" w:rsidRDefault="00004B6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FINANCE </w:t>
                                </w:r>
                                <w:r w:rsidR="00BD1D43" w:rsidRPr="00AA636D">
                                  <w:rPr>
                                    <w:rFonts w:ascii="Arial" w:hAnsi="Arial" w:cs="Arial"/>
                                    <w:color w:val="EA7317" w:themeColor="accent5"/>
                                    <w:w w:val="110"/>
                                    <w:sz w:val="44"/>
                                    <w:szCs w:val="44"/>
                                  </w:rPr>
                                  <w:t>DOMAIN</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Financial Management in Startups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C7D0D7D" w:rsidR="00BD1D43" w:rsidRDefault="00004B64" w:rsidP="00BD1D43">
                                      <w:pPr>
                                        <w:rPr>
                                          <w:rFonts w:ascii="Arial" w:hAnsi="Arial" w:cs="Arial"/>
                                          <w:color w:val="595959" w:themeColor="text1" w:themeTint="A6"/>
                                          <w:sz w:val="20"/>
                                          <w:szCs w:val="43"/>
                                        </w:rPr>
                                      </w:pPr>
                                      <w:r>
                                        <w:rPr>
                                          <w:rFonts w:ascii="Arial" w:hAnsi="Arial" w:cs="Arial"/>
                                          <w:color w:val="595959" w:themeColor="text1" w:themeTint="A6"/>
                                          <w:sz w:val="20"/>
                                          <w:szCs w:val="43"/>
                                        </w:rPr>
                                        <w:t>Nikhil Kailash Khanderao</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2593A9D"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E665F7">
                                        <w:rPr>
                                          <w:rFonts w:ascii="Arial" w:hAnsi="Arial" w:cs="Arial"/>
                                          <w:color w:val="595959" w:themeColor="text1" w:themeTint="A6"/>
                                          <w:sz w:val="20"/>
                                          <w:szCs w:val="43"/>
                                        </w:rPr>
                                        <w:t xml:space="preserve">Finance </w:t>
                                      </w:r>
                                      <w:r>
                                        <w:rPr>
                                          <w:rFonts w:ascii="Arial" w:hAnsi="Arial" w:cs="Arial"/>
                                          <w:color w:val="595959" w:themeColor="text1" w:themeTint="A6"/>
                                          <w:sz w:val="20"/>
                                          <w:szCs w:val="43"/>
                                        </w:rPr>
                                        <w:t>Domain Lead&gt;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773C005" w:rsidR="00BD1D43" w:rsidRDefault="00004B64"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4E032A">
                                        <w:rPr>
                                          <w:rFonts w:ascii="Arial" w:hAnsi="Arial" w:cs="Arial"/>
                                          <w:color w:val="595959" w:themeColor="text1" w:themeTint="A6"/>
                                          <w:sz w:val="20"/>
                                          <w:szCs w:val="43"/>
                                        </w:rPr>
                                        <w:t>6</w:t>
                                      </w:r>
                                      <w:r>
                                        <w:rPr>
                                          <w:rFonts w:ascii="Arial" w:hAnsi="Arial" w:cs="Arial"/>
                                          <w:color w:val="595959" w:themeColor="text1" w:themeTint="A6"/>
                                          <w:sz w:val="20"/>
                                          <w:szCs w:val="43"/>
                                        </w:rPr>
                                        <w:t>/07/2024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26893F6" w:rsidR="00BD1D43" w:rsidRDefault="00004B64"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4E032A">
                                        <w:rPr>
                                          <w:rFonts w:ascii="Arial" w:hAnsi="Arial" w:cs="Arial"/>
                                          <w:color w:val="595959" w:themeColor="text1" w:themeTint="A6"/>
                                          <w:sz w:val="20"/>
                                          <w:szCs w:val="43"/>
                                        </w:rPr>
                                        <w:t>6</w:t>
                                      </w:r>
                                      <w:r>
                                        <w:rPr>
                                          <w:rFonts w:ascii="Arial" w:hAnsi="Arial" w:cs="Arial"/>
                                          <w:color w:val="595959" w:themeColor="text1" w:themeTint="A6"/>
                                          <w:sz w:val="20"/>
                                          <w:szCs w:val="43"/>
                                        </w:rPr>
                                        <w:t>/07/2024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19B5F7E" w:rsidR="00BD1D43" w:rsidRDefault="00004B64"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 xml:space="preserve">FINANCE </w:t>
                          </w:r>
                          <w:r w:rsidR="00BD1D43" w:rsidRPr="00AA636D">
                            <w:rPr>
                              <w:rFonts w:ascii="Arial" w:hAnsi="Arial" w:cs="Arial"/>
                              <w:color w:val="EA7317" w:themeColor="accent5"/>
                              <w:w w:val="110"/>
                              <w:sz w:val="44"/>
                              <w:szCs w:val="44"/>
                            </w:rPr>
                            <w:t>DOMAIN</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Financial Management in Startups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C7D0D7D" w:rsidR="00BD1D43" w:rsidRDefault="00004B64" w:rsidP="00BD1D43">
                                <w:pPr>
                                  <w:rPr>
                                    <w:rFonts w:ascii="Arial" w:hAnsi="Arial" w:cs="Arial"/>
                                    <w:color w:val="595959" w:themeColor="text1" w:themeTint="A6"/>
                                    <w:sz w:val="20"/>
                                    <w:szCs w:val="43"/>
                                  </w:rPr>
                                </w:pPr>
                                <w:r>
                                  <w:rPr>
                                    <w:rFonts w:ascii="Arial" w:hAnsi="Arial" w:cs="Arial"/>
                                    <w:color w:val="595959" w:themeColor="text1" w:themeTint="A6"/>
                                    <w:sz w:val="20"/>
                                    <w:szCs w:val="43"/>
                                  </w:rPr>
                                  <w:t>Nikhil Kailash Khanderao</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2593A9D"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E665F7">
                                  <w:rPr>
                                    <w:rFonts w:ascii="Arial" w:hAnsi="Arial" w:cs="Arial"/>
                                    <w:color w:val="595959" w:themeColor="text1" w:themeTint="A6"/>
                                    <w:sz w:val="20"/>
                                    <w:szCs w:val="43"/>
                                  </w:rPr>
                                  <w:t xml:space="preserve">Finance </w:t>
                                </w:r>
                                <w:r>
                                  <w:rPr>
                                    <w:rFonts w:ascii="Arial" w:hAnsi="Arial" w:cs="Arial"/>
                                    <w:color w:val="595959" w:themeColor="text1" w:themeTint="A6"/>
                                    <w:sz w:val="20"/>
                                    <w:szCs w:val="43"/>
                                  </w:rPr>
                                  <w:t>Domain Lead&gt;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773C005" w:rsidR="00BD1D43" w:rsidRDefault="00004B64"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4E032A">
                                  <w:rPr>
                                    <w:rFonts w:ascii="Arial" w:hAnsi="Arial" w:cs="Arial"/>
                                    <w:color w:val="595959" w:themeColor="text1" w:themeTint="A6"/>
                                    <w:sz w:val="20"/>
                                    <w:szCs w:val="43"/>
                                  </w:rPr>
                                  <w:t>6</w:t>
                                </w:r>
                                <w:r>
                                  <w:rPr>
                                    <w:rFonts w:ascii="Arial" w:hAnsi="Arial" w:cs="Arial"/>
                                    <w:color w:val="595959" w:themeColor="text1" w:themeTint="A6"/>
                                    <w:sz w:val="20"/>
                                    <w:szCs w:val="43"/>
                                  </w:rPr>
                                  <w:t>/07/2024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26893F6" w:rsidR="00BD1D43" w:rsidRDefault="00004B64"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4E032A">
                                  <w:rPr>
                                    <w:rFonts w:ascii="Arial" w:hAnsi="Arial" w:cs="Arial"/>
                                    <w:color w:val="595959" w:themeColor="text1" w:themeTint="A6"/>
                                    <w:sz w:val="20"/>
                                    <w:szCs w:val="43"/>
                                  </w:rPr>
                                  <w:t>6</w:t>
                                </w:r>
                                <w:r>
                                  <w:rPr>
                                    <w:rFonts w:ascii="Arial" w:hAnsi="Arial" w:cs="Arial"/>
                                    <w:color w:val="595959" w:themeColor="text1" w:themeTint="A6"/>
                                    <w:sz w:val="20"/>
                                    <w:szCs w:val="43"/>
                                  </w:rPr>
                                  <w:t>/07/2024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E6E63E0" w:rsidR="00EF7D1E" w:rsidRPr="00EF7D1E" w:rsidRDefault="00004B6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Financial Management in Startups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0C184000" w:rsidR="00EF7D1E" w:rsidRPr="00EF7D1E" w:rsidRDefault="00004B6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Self</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E35C94A" w:rsidR="00EF7D1E" w:rsidRPr="00EF7D1E" w:rsidRDefault="00004B6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Cloud </w:t>
            </w:r>
            <w:proofErr w:type="spellStart"/>
            <w:r>
              <w:rPr>
                <w:rFonts w:ascii="Arial" w:hAnsi="Arial" w:cs="Arial"/>
                <w:color w:val="595959" w:themeColor="text1" w:themeTint="A6"/>
                <w:sz w:val="22"/>
                <w:szCs w:val="22"/>
                <w:lang w:val="en-US"/>
              </w:rPr>
              <w:t>Counselage</w:t>
            </w:r>
            <w:proofErr w:type="spellEnd"/>
            <w:r>
              <w:rPr>
                <w:rFonts w:ascii="Arial" w:hAnsi="Arial" w:cs="Arial"/>
                <w:color w:val="595959" w:themeColor="text1" w:themeTint="A6"/>
                <w:sz w:val="22"/>
                <w:szCs w:val="22"/>
                <w:lang w:val="en-US"/>
              </w:rPr>
              <w:t xml:space="preserve"> Finance Domain Lead</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41B9B79" w:rsidR="00EF7D1E" w:rsidRPr="00EF7D1E" w:rsidRDefault="00004B64"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w:t>
            </w:r>
            <w:r w:rsidR="004E032A">
              <w:rPr>
                <w:rFonts w:ascii="Arial" w:hAnsi="Arial" w:cs="Arial"/>
                <w:color w:val="595959" w:themeColor="text1" w:themeTint="A6"/>
                <w:sz w:val="22"/>
                <w:szCs w:val="22"/>
                <w:lang w:val="en-US"/>
              </w:rPr>
              <w:t>6</w:t>
            </w:r>
            <w:r>
              <w:rPr>
                <w:rFonts w:ascii="Arial" w:hAnsi="Arial" w:cs="Arial"/>
                <w:color w:val="595959" w:themeColor="text1" w:themeTint="A6"/>
                <w:sz w:val="22"/>
                <w:szCs w:val="22"/>
                <w:lang w:val="en-US"/>
              </w:rPr>
              <w:t>/07/2024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532411B" w:rsidR="00EF7D1E" w:rsidRPr="00EF7D1E" w:rsidRDefault="00004B64"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28/07/2024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2EED15E7" w:rsidR="005F7858" w:rsidRDefault="00004B64" w:rsidP="005675AC">
      <w:pPr>
        <w:ind w:left="426"/>
        <w:jc w:val="both"/>
        <w:rPr>
          <w:rFonts w:ascii="Arial" w:hAnsi="Arial" w:cs="Arial"/>
          <w:color w:val="595959" w:themeColor="text1" w:themeTint="A6"/>
        </w:rPr>
      </w:pPr>
      <w:r w:rsidRPr="009D0303">
        <w:rPr>
          <w:lang w:val="en-GB"/>
        </w:rPr>
        <w:t xml:space="preserve">This project aims to </w:t>
      </w:r>
      <w:proofErr w:type="spellStart"/>
      <w:r w:rsidRPr="009D0303">
        <w:rPr>
          <w:lang w:val="en-GB"/>
        </w:rPr>
        <w:t>analyze</w:t>
      </w:r>
      <w:proofErr w:type="spellEnd"/>
      <w:r w:rsidRPr="009D0303">
        <w:rPr>
          <w:lang w:val="en-GB"/>
        </w:rPr>
        <w:t xml:space="preserve"> the financial management practices of startups at various stages of their lifecycle. By understanding the unique financial challenges and opportunities at each stage, startups can optimize their resource allocation, enhance profitability, and achieve sustainable growth</w:t>
      </w:r>
    </w:p>
    <w:p w14:paraId="22B2978E" w14:textId="3AEB30D8" w:rsidR="005F7858" w:rsidRDefault="005F7858" w:rsidP="005F7858">
      <w:pPr>
        <w:ind w:firstLine="426"/>
      </w:pPr>
    </w:p>
    <w:p w14:paraId="5F7CCEB4" w14:textId="75A2CFE4" w:rsidR="0059785C" w:rsidRPr="0059785C" w:rsidRDefault="005675AC" w:rsidP="005675AC">
      <w:pPr>
        <w:ind w:left="426"/>
        <w:jc w:val="both"/>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898DE7F" w14:textId="008DB529" w:rsidR="00397D59" w:rsidRPr="00004B64" w:rsidRDefault="00004B64" w:rsidP="00004B64">
      <w:pPr>
        <w:spacing w:after="200" w:line="276" w:lineRule="auto"/>
        <w:rPr>
          <w:lang w:val="en-GB"/>
        </w:rPr>
      </w:pPr>
      <w:bookmarkStart w:id="4" w:name="_Hlk181132616"/>
      <w:r w:rsidRPr="009D0303">
        <w:rPr>
          <w:lang w:val="en-GB"/>
        </w:rPr>
        <w:t>Startups face numerous financial challenges, including limited resources, uncertain revenue streams, and rapid growth. Effective financial management is crucial to navigate these challenges and ensure the long-term success of the business.</w:t>
      </w:r>
      <w:bookmarkEnd w:id="4"/>
    </w:p>
    <w:p w14:paraId="2BA85E29" w14:textId="1619A934" w:rsidR="00980092" w:rsidRPr="00373485" w:rsidRDefault="00980092" w:rsidP="00397D59">
      <w:pPr>
        <w:pStyle w:val="Heading2"/>
        <w:ind w:left="993" w:hanging="567"/>
        <w:rPr>
          <w:rFonts w:ascii="Arial" w:eastAsia="Times New Roman" w:hAnsi="Arial" w:cs="Arial"/>
        </w:rPr>
      </w:pPr>
      <w:bookmarkStart w:id="5" w:name="_Toc143445379"/>
      <w:r w:rsidRPr="00373485">
        <w:rPr>
          <w:rFonts w:ascii="Arial" w:eastAsia="Times New Roman" w:hAnsi="Arial" w:cs="Arial"/>
        </w:rPr>
        <w:t>Stakeholders</w:t>
      </w:r>
      <w:bookmarkEnd w:id="5"/>
    </w:p>
    <w:p w14:paraId="689FFAB5" w14:textId="6085E8B6" w:rsidR="00980092" w:rsidRPr="005F7858" w:rsidRDefault="00980092" w:rsidP="00980092">
      <w:pPr>
        <w:ind w:left="993"/>
        <w:jc w:val="both"/>
        <w:rPr>
          <w:rFonts w:ascii="Arial" w:hAnsi="Arial" w:cs="Arial"/>
          <w:i/>
          <w:iCs/>
          <w:color w:val="595959" w:themeColor="text1" w:themeTint="A6"/>
        </w:rPr>
      </w:pPr>
    </w:p>
    <w:p w14:paraId="5C61D901" w14:textId="77777777" w:rsidR="00980092" w:rsidRDefault="00980092" w:rsidP="00980092">
      <w:pPr>
        <w:ind w:left="426"/>
        <w:jc w:val="both"/>
        <w:rPr>
          <w:rFonts w:ascii="Arial" w:hAnsi="Arial" w:cs="Arial"/>
          <w:color w:val="595959" w:themeColor="text1" w:themeTint="A6"/>
        </w:rPr>
      </w:pPr>
    </w:p>
    <w:p w14:paraId="65CE1FA0" w14:textId="33973F1D" w:rsidR="00580308" w:rsidRPr="009D0303" w:rsidRDefault="00580308" w:rsidP="00580308">
      <w:pPr>
        <w:numPr>
          <w:ilvl w:val="0"/>
          <w:numId w:val="33"/>
        </w:numPr>
        <w:spacing w:after="200" w:line="276" w:lineRule="auto"/>
        <w:rPr>
          <w:lang w:val="en-GB"/>
        </w:rPr>
      </w:pPr>
      <w:r w:rsidRPr="009D0303">
        <w:rPr>
          <w:lang w:val="en-GB"/>
        </w:rPr>
        <w:t>Startup Founders and Entrepreneurs</w:t>
      </w:r>
    </w:p>
    <w:p w14:paraId="2FA03AEE" w14:textId="77777777" w:rsidR="00580308" w:rsidRPr="009D0303" w:rsidRDefault="00580308" w:rsidP="00580308">
      <w:pPr>
        <w:numPr>
          <w:ilvl w:val="0"/>
          <w:numId w:val="33"/>
        </w:numPr>
        <w:spacing w:after="200" w:line="276" w:lineRule="auto"/>
        <w:rPr>
          <w:lang w:val="en-GB"/>
        </w:rPr>
      </w:pPr>
      <w:r w:rsidRPr="009D0303">
        <w:rPr>
          <w:lang w:val="en-GB"/>
        </w:rPr>
        <w:t>Venture Capitalists and Investors</w:t>
      </w:r>
    </w:p>
    <w:p w14:paraId="31019554" w14:textId="77777777" w:rsidR="00580308" w:rsidRPr="009D0303" w:rsidRDefault="00580308" w:rsidP="00580308">
      <w:pPr>
        <w:numPr>
          <w:ilvl w:val="0"/>
          <w:numId w:val="33"/>
        </w:numPr>
        <w:spacing w:after="200" w:line="276" w:lineRule="auto"/>
        <w:rPr>
          <w:lang w:val="en-GB"/>
        </w:rPr>
      </w:pPr>
      <w:r w:rsidRPr="009D0303">
        <w:rPr>
          <w:lang w:val="en-GB"/>
        </w:rPr>
        <w:t>Financial Advisors and Consultants</w:t>
      </w:r>
    </w:p>
    <w:p w14:paraId="24CA7B54" w14:textId="77777777" w:rsidR="00580308" w:rsidRPr="009D0303" w:rsidRDefault="00580308" w:rsidP="00580308">
      <w:pPr>
        <w:numPr>
          <w:ilvl w:val="0"/>
          <w:numId w:val="33"/>
        </w:numPr>
        <w:spacing w:after="200" w:line="276" w:lineRule="auto"/>
        <w:rPr>
          <w:lang w:val="en-GB"/>
        </w:rPr>
      </w:pPr>
      <w:r w:rsidRPr="009D0303">
        <w:rPr>
          <w:lang w:val="en-GB"/>
        </w:rPr>
        <w:t>Academic Researchers</w:t>
      </w:r>
    </w:p>
    <w:p w14:paraId="30CEE0BE" w14:textId="06EA07C2" w:rsidR="00980092" w:rsidRDefault="00980092" w:rsidP="00980092">
      <w:pPr>
        <w:ind w:left="273" w:firstLine="720"/>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6" w:name="_Toc143445380"/>
      <w:r w:rsidRPr="00373485">
        <w:rPr>
          <w:rFonts w:ascii="Arial" w:eastAsia="Times New Roman" w:hAnsi="Arial" w:cs="Arial"/>
        </w:rPr>
        <w:t>Objectives</w:t>
      </w:r>
      <w:bookmarkEnd w:id="6"/>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36207E2A" w14:textId="77777777" w:rsidR="00580308" w:rsidRPr="009D0303" w:rsidRDefault="00580308" w:rsidP="00580308">
      <w:pPr>
        <w:numPr>
          <w:ilvl w:val="0"/>
          <w:numId w:val="34"/>
        </w:numPr>
        <w:spacing w:after="200" w:line="276" w:lineRule="auto"/>
        <w:rPr>
          <w:lang w:val="en-GB"/>
        </w:rPr>
      </w:pPr>
      <w:r w:rsidRPr="009D0303">
        <w:rPr>
          <w:lang w:val="en-GB"/>
        </w:rPr>
        <w:t>To identify the key financial challenges faced by startups at different stages.</w:t>
      </w:r>
    </w:p>
    <w:p w14:paraId="1794E508" w14:textId="77777777" w:rsidR="00580308" w:rsidRPr="009D0303" w:rsidRDefault="00580308" w:rsidP="00580308">
      <w:pPr>
        <w:numPr>
          <w:ilvl w:val="0"/>
          <w:numId w:val="34"/>
        </w:numPr>
        <w:spacing w:after="200" w:line="276" w:lineRule="auto"/>
        <w:rPr>
          <w:lang w:val="en-GB"/>
        </w:rPr>
      </w:pPr>
      <w:r w:rsidRPr="009D0303">
        <w:rPr>
          <w:lang w:val="en-GB"/>
        </w:rPr>
        <w:t xml:space="preserve">To </w:t>
      </w:r>
      <w:proofErr w:type="spellStart"/>
      <w:r w:rsidRPr="009D0303">
        <w:rPr>
          <w:lang w:val="en-GB"/>
        </w:rPr>
        <w:t>analyze</w:t>
      </w:r>
      <w:proofErr w:type="spellEnd"/>
      <w:r w:rsidRPr="009D0303">
        <w:rPr>
          <w:lang w:val="en-GB"/>
        </w:rPr>
        <w:t xml:space="preserve"> the financial management strategies employed by successful startups.</w:t>
      </w:r>
    </w:p>
    <w:p w14:paraId="46231A3B" w14:textId="77777777" w:rsidR="00580308" w:rsidRPr="009D0303" w:rsidRDefault="00580308" w:rsidP="00580308">
      <w:pPr>
        <w:numPr>
          <w:ilvl w:val="0"/>
          <w:numId w:val="34"/>
        </w:numPr>
        <w:spacing w:after="200" w:line="276" w:lineRule="auto"/>
        <w:rPr>
          <w:lang w:val="en-GB"/>
        </w:rPr>
      </w:pPr>
      <w:r w:rsidRPr="009D0303">
        <w:rPr>
          <w:lang w:val="en-GB"/>
        </w:rPr>
        <w:t>To develop a framework for effective financial management in startups.</w:t>
      </w:r>
    </w:p>
    <w:p w14:paraId="72C660E5" w14:textId="0D314493" w:rsidR="00BA6BF5" w:rsidRDefault="00BA6BF5" w:rsidP="00397D59">
      <w:pPr>
        <w:ind w:left="273" w:firstLine="720"/>
      </w:pP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7" w:name="_Toc143445381"/>
      <w:r>
        <w:rPr>
          <w:rFonts w:ascii="Arial" w:hAnsi="Arial" w:cs="Arial"/>
          <w:b/>
          <w:bCs/>
          <w:color w:val="FFB923" w:themeColor="accent4"/>
          <w:sz w:val="28"/>
          <w:szCs w:val="28"/>
        </w:rPr>
        <w:lastRenderedPageBreak/>
        <w:t>METHODOLOGY</w:t>
      </w:r>
      <w:bookmarkEnd w:id="7"/>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8" w:name="_Toc143445382"/>
      <w:r>
        <w:rPr>
          <w:rFonts w:ascii="Arial" w:eastAsia="Times New Roman" w:hAnsi="Arial" w:cs="Arial"/>
        </w:rPr>
        <w:t>Considerations &amp; Assumption</w:t>
      </w:r>
      <w:bookmarkEnd w:id="8"/>
    </w:p>
    <w:p w14:paraId="4F00A4EC" w14:textId="77777777" w:rsidR="00ED01C9" w:rsidRDefault="00ED01C9" w:rsidP="00682147">
      <w:pPr>
        <w:ind w:left="273" w:firstLine="720"/>
        <w:rPr>
          <w:rFonts w:ascii="Arial" w:hAnsi="Arial" w:cs="Arial"/>
          <w:color w:val="595959" w:themeColor="text1" w:themeTint="A6"/>
          <w:highlight w:val="yellow"/>
        </w:rPr>
      </w:pPr>
    </w:p>
    <w:p w14:paraId="0ABCE17C" w14:textId="618EBB5F" w:rsidR="00580308" w:rsidRPr="009D0303" w:rsidRDefault="00580308" w:rsidP="00580308">
      <w:pPr>
        <w:numPr>
          <w:ilvl w:val="0"/>
          <w:numId w:val="35"/>
        </w:numPr>
        <w:spacing w:after="200" w:line="276" w:lineRule="auto"/>
        <w:rPr>
          <w:lang w:val="en-GB"/>
        </w:rPr>
      </w:pPr>
      <w:r w:rsidRPr="009D0303">
        <w:rPr>
          <w:lang w:val="en-GB"/>
        </w:rPr>
        <w:t>This project assumes a general understanding of startup finance and business operations.</w:t>
      </w:r>
    </w:p>
    <w:p w14:paraId="0B231689" w14:textId="77777777" w:rsidR="00580308" w:rsidRPr="009D0303" w:rsidRDefault="00580308" w:rsidP="00580308">
      <w:pPr>
        <w:numPr>
          <w:ilvl w:val="0"/>
          <w:numId w:val="35"/>
        </w:numPr>
        <w:spacing w:after="200" w:line="276" w:lineRule="auto"/>
        <w:rPr>
          <w:lang w:val="en-GB"/>
        </w:rPr>
      </w:pPr>
      <w:r w:rsidRPr="009D0303">
        <w:rPr>
          <w:lang w:val="en-GB"/>
        </w:rPr>
        <w:t>The analysis is based on a review of existing literature, case studies, and industry reports.</w:t>
      </w:r>
    </w:p>
    <w:p w14:paraId="22E784A0" w14:textId="5C2439FE"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9" w:name="_Toc143445383"/>
      <w:r>
        <w:rPr>
          <w:rFonts w:ascii="Arial" w:eastAsia="Times New Roman" w:hAnsi="Arial" w:cs="Arial"/>
        </w:rPr>
        <w:t>Approach</w:t>
      </w:r>
      <w:bookmarkEnd w:id="9"/>
    </w:p>
    <w:p w14:paraId="7A13EE6F" w14:textId="120843ED" w:rsidR="00E23E1D" w:rsidRDefault="00580308" w:rsidP="00580308">
      <w:pPr>
        <w:ind w:left="273" w:firstLine="720"/>
        <w:jc w:val="both"/>
        <w:rPr>
          <w:rFonts w:ascii="Arial" w:hAnsi="Arial" w:cs="Arial"/>
          <w:color w:val="595959" w:themeColor="text1" w:themeTint="A6"/>
        </w:rPr>
      </w:pPr>
      <w:r w:rsidRPr="009D0303">
        <w:rPr>
          <w:lang w:val="en-GB"/>
        </w:rPr>
        <w:t>A qualitative research approach, including literature review and case study analysis, was adopted to explore the financial management practices of startups.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10" w:name="_Toc143445384"/>
      <w:r>
        <w:rPr>
          <w:rFonts w:ascii="Arial" w:eastAsia="Times New Roman" w:hAnsi="Arial" w:cs="Arial"/>
        </w:rPr>
        <w:t>Activities</w:t>
      </w:r>
      <w:bookmarkEnd w:id="10"/>
    </w:p>
    <w:p w14:paraId="22AA097D" w14:textId="77777777" w:rsidR="00580308" w:rsidRPr="009D0303" w:rsidRDefault="00580308" w:rsidP="00580308">
      <w:pPr>
        <w:numPr>
          <w:ilvl w:val="0"/>
          <w:numId w:val="36"/>
        </w:numPr>
        <w:spacing w:after="200" w:line="276" w:lineRule="auto"/>
        <w:rPr>
          <w:lang w:val="en-GB"/>
        </w:rPr>
      </w:pPr>
      <w:r w:rsidRPr="009D0303">
        <w:rPr>
          <w:lang w:val="en-GB"/>
        </w:rPr>
        <w:t>Literature Review: A comprehensive review of academic papers, books, and industry reports on startup finance.</w:t>
      </w:r>
    </w:p>
    <w:p w14:paraId="703AD4DA" w14:textId="77777777" w:rsidR="00580308" w:rsidRPr="009D0303" w:rsidRDefault="00580308" w:rsidP="00580308">
      <w:pPr>
        <w:numPr>
          <w:ilvl w:val="0"/>
          <w:numId w:val="36"/>
        </w:numPr>
        <w:spacing w:after="200" w:line="276" w:lineRule="auto"/>
        <w:rPr>
          <w:lang w:val="en-GB"/>
        </w:rPr>
      </w:pPr>
      <w:r w:rsidRPr="009D0303">
        <w:rPr>
          <w:lang w:val="en-GB"/>
        </w:rPr>
        <w:t>Case Study Analysis: In-depth analysis of successful and failed startups to identify critical financial factors.</w:t>
      </w:r>
    </w:p>
    <w:p w14:paraId="1C04A43C" w14:textId="77777777" w:rsidR="00580308" w:rsidRDefault="00580308" w:rsidP="00580308">
      <w:pPr>
        <w:numPr>
          <w:ilvl w:val="0"/>
          <w:numId w:val="36"/>
        </w:numPr>
        <w:spacing w:after="200" w:line="276" w:lineRule="auto"/>
        <w:rPr>
          <w:lang w:val="en-GB"/>
        </w:rPr>
      </w:pPr>
      <w:r w:rsidRPr="009D0303">
        <w:rPr>
          <w:lang w:val="en-GB"/>
        </w:rPr>
        <w:t>Framework Development: Creation of a financial management framework tailored to the specific needs of startups.</w:t>
      </w:r>
    </w:p>
    <w:p w14:paraId="08C11DD3" w14:textId="77777777" w:rsidR="00E665F7" w:rsidRDefault="00E665F7" w:rsidP="00E665F7">
      <w:pPr>
        <w:spacing w:after="200" w:line="276" w:lineRule="auto"/>
        <w:ind w:left="720"/>
        <w:rPr>
          <w:lang w:val="en-GB"/>
        </w:rPr>
      </w:pPr>
    </w:p>
    <w:p w14:paraId="1AF0521D" w14:textId="77777777" w:rsidR="00E665F7" w:rsidRPr="00E665F7" w:rsidRDefault="00E665F7" w:rsidP="00E665F7">
      <w:pPr>
        <w:numPr>
          <w:ilvl w:val="0"/>
          <w:numId w:val="45"/>
        </w:numPr>
        <w:spacing w:after="200" w:line="276" w:lineRule="auto"/>
        <w:rPr>
          <w:b/>
          <w:bCs/>
          <w:lang w:val="en-GB"/>
        </w:rPr>
      </w:pPr>
      <w:r w:rsidRPr="00E665F7">
        <w:rPr>
          <w:b/>
          <w:bCs/>
          <w:lang w:val="en-GB"/>
        </w:rPr>
        <w:t>Understanding Startup Stages and Financial Needs</w:t>
      </w:r>
    </w:p>
    <w:p w14:paraId="108AEE37" w14:textId="77777777" w:rsidR="00E665F7" w:rsidRPr="00E665F7" w:rsidRDefault="00E665F7" w:rsidP="00E665F7">
      <w:pPr>
        <w:spacing w:after="200" w:line="276" w:lineRule="auto"/>
        <w:ind w:left="720"/>
        <w:rPr>
          <w:lang w:val="en-GB"/>
        </w:rPr>
      </w:pPr>
      <w:r w:rsidRPr="00E665F7">
        <w:rPr>
          <w:lang w:val="en-GB"/>
        </w:rPr>
        <w:t>A startup's financial journey is a dynamic process that evolves as the business matures. Here's a breakdown of the key stages and their associated financial needs:</w:t>
      </w:r>
    </w:p>
    <w:p w14:paraId="3CE178FD" w14:textId="77777777" w:rsidR="00E665F7" w:rsidRPr="00E665F7" w:rsidRDefault="00E665F7" w:rsidP="00E665F7">
      <w:pPr>
        <w:spacing w:after="200" w:line="276" w:lineRule="auto"/>
        <w:ind w:left="720"/>
        <w:rPr>
          <w:lang w:val="en-GB"/>
        </w:rPr>
      </w:pPr>
      <w:r w:rsidRPr="00E665F7">
        <w:rPr>
          <w:b/>
          <w:bCs/>
          <w:lang w:val="en-GB"/>
        </w:rPr>
        <w:t>1. Ideation and Pre-Seed Stage:</w:t>
      </w:r>
    </w:p>
    <w:p w14:paraId="30EB66EA" w14:textId="77777777" w:rsidR="00E665F7" w:rsidRPr="00E665F7" w:rsidRDefault="00E665F7" w:rsidP="00E665F7">
      <w:pPr>
        <w:numPr>
          <w:ilvl w:val="0"/>
          <w:numId w:val="38"/>
        </w:numPr>
        <w:spacing w:after="200" w:line="276" w:lineRule="auto"/>
        <w:rPr>
          <w:lang w:val="en-GB"/>
        </w:rPr>
      </w:pPr>
      <w:r w:rsidRPr="00E665F7">
        <w:rPr>
          <w:b/>
          <w:bCs/>
          <w:lang w:val="en-GB"/>
        </w:rPr>
        <w:t>Financial Focus:</w:t>
      </w:r>
      <w:r w:rsidRPr="00E665F7">
        <w:rPr>
          <w:lang w:val="en-GB"/>
        </w:rPr>
        <w:t xml:space="preserve"> Bootstrapping or seeking small investments from friends and family.</w:t>
      </w:r>
    </w:p>
    <w:p w14:paraId="51D7F327" w14:textId="77777777" w:rsidR="00E665F7" w:rsidRPr="00E665F7" w:rsidRDefault="00E665F7" w:rsidP="00E665F7">
      <w:pPr>
        <w:numPr>
          <w:ilvl w:val="0"/>
          <w:numId w:val="38"/>
        </w:numPr>
        <w:spacing w:after="200" w:line="276" w:lineRule="auto"/>
        <w:rPr>
          <w:lang w:val="en-GB"/>
        </w:rPr>
      </w:pPr>
      <w:r w:rsidRPr="00E665F7">
        <w:rPr>
          <w:b/>
          <w:bCs/>
          <w:lang w:val="en-GB"/>
        </w:rPr>
        <w:t>Key Financial Activities:</w:t>
      </w:r>
      <w:r w:rsidRPr="00E665F7">
        <w:rPr>
          <w:lang w:val="en-GB"/>
        </w:rPr>
        <w:t xml:space="preserve"> </w:t>
      </w:r>
    </w:p>
    <w:p w14:paraId="6497F855" w14:textId="77777777" w:rsidR="00E665F7" w:rsidRPr="00E665F7" w:rsidRDefault="00E665F7" w:rsidP="00E665F7">
      <w:pPr>
        <w:numPr>
          <w:ilvl w:val="1"/>
          <w:numId w:val="38"/>
        </w:numPr>
        <w:spacing w:after="200" w:line="276" w:lineRule="auto"/>
        <w:rPr>
          <w:lang w:val="en-GB"/>
        </w:rPr>
      </w:pPr>
      <w:r w:rsidRPr="00E665F7">
        <w:rPr>
          <w:lang w:val="en-GB"/>
        </w:rPr>
        <w:t>Creating a detailed business plan.</w:t>
      </w:r>
    </w:p>
    <w:p w14:paraId="351EB490" w14:textId="77777777" w:rsidR="00E665F7" w:rsidRPr="00E665F7" w:rsidRDefault="00E665F7" w:rsidP="00E665F7">
      <w:pPr>
        <w:numPr>
          <w:ilvl w:val="1"/>
          <w:numId w:val="38"/>
        </w:numPr>
        <w:spacing w:after="200" w:line="276" w:lineRule="auto"/>
        <w:rPr>
          <w:lang w:val="en-GB"/>
        </w:rPr>
      </w:pPr>
      <w:r w:rsidRPr="00E665F7">
        <w:rPr>
          <w:lang w:val="en-GB"/>
        </w:rPr>
        <w:t>Developing a realistic budget.</w:t>
      </w:r>
    </w:p>
    <w:p w14:paraId="7601D06D" w14:textId="77777777" w:rsidR="00E665F7" w:rsidRPr="00E665F7" w:rsidRDefault="00E665F7" w:rsidP="00E665F7">
      <w:pPr>
        <w:numPr>
          <w:ilvl w:val="1"/>
          <w:numId w:val="38"/>
        </w:numPr>
        <w:spacing w:after="200" w:line="276" w:lineRule="auto"/>
        <w:rPr>
          <w:lang w:val="en-GB"/>
        </w:rPr>
      </w:pPr>
      <w:r w:rsidRPr="00E665F7">
        <w:rPr>
          <w:lang w:val="en-GB"/>
        </w:rPr>
        <w:t>Securing initial funding.</w:t>
      </w:r>
    </w:p>
    <w:p w14:paraId="3EA5D6D1" w14:textId="77777777" w:rsidR="00E665F7" w:rsidRPr="00E665F7" w:rsidRDefault="00E665F7" w:rsidP="00E665F7">
      <w:pPr>
        <w:spacing w:after="200" w:line="276" w:lineRule="auto"/>
        <w:ind w:left="720"/>
        <w:rPr>
          <w:lang w:val="en-GB"/>
        </w:rPr>
      </w:pPr>
      <w:r w:rsidRPr="00E665F7">
        <w:rPr>
          <w:b/>
          <w:bCs/>
          <w:lang w:val="en-GB"/>
        </w:rPr>
        <w:lastRenderedPageBreak/>
        <w:t>2. Seed Stage:</w:t>
      </w:r>
    </w:p>
    <w:p w14:paraId="7B2ED515" w14:textId="77777777" w:rsidR="00E665F7" w:rsidRPr="00E665F7" w:rsidRDefault="00E665F7" w:rsidP="00E665F7">
      <w:pPr>
        <w:numPr>
          <w:ilvl w:val="0"/>
          <w:numId w:val="39"/>
        </w:numPr>
        <w:spacing w:after="200" w:line="276" w:lineRule="auto"/>
        <w:rPr>
          <w:lang w:val="en-GB"/>
        </w:rPr>
      </w:pPr>
      <w:r w:rsidRPr="00E665F7">
        <w:rPr>
          <w:b/>
          <w:bCs/>
          <w:lang w:val="en-GB"/>
        </w:rPr>
        <w:t>Financial Focus:</w:t>
      </w:r>
      <w:r w:rsidRPr="00E665F7">
        <w:rPr>
          <w:lang w:val="en-GB"/>
        </w:rPr>
        <w:t xml:space="preserve"> Raising capital from angel investors or seed funds.</w:t>
      </w:r>
    </w:p>
    <w:p w14:paraId="4EB17991" w14:textId="77777777" w:rsidR="00E665F7" w:rsidRPr="00E665F7" w:rsidRDefault="00E665F7" w:rsidP="00E665F7">
      <w:pPr>
        <w:numPr>
          <w:ilvl w:val="0"/>
          <w:numId w:val="39"/>
        </w:numPr>
        <w:spacing w:after="200" w:line="276" w:lineRule="auto"/>
        <w:rPr>
          <w:lang w:val="en-GB"/>
        </w:rPr>
      </w:pPr>
      <w:r w:rsidRPr="00E665F7">
        <w:rPr>
          <w:b/>
          <w:bCs/>
          <w:lang w:val="en-GB"/>
        </w:rPr>
        <w:t>Key Financial Activities:</w:t>
      </w:r>
      <w:r w:rsidRPr="00E665F7">
        <w:rPr>
          <w:lang w:val="en-GB"/>
        </w:rPr>
        <w:t xml:space="preserve"> </w:t>
      </w:r>
    </w:p>
    <w:p w14:paraId="0991A218" w14:textId="77777777" w:rsidR="00E665F7" w:rsidRPr="00E665F7" w:rsidRDefault="00E665F7" w:rsidP="00E665F7">
      <w:pPr>
        <w:numPr>
          <w:ilvl w:val="1"/>
          <w:numId w:val="39"/>
        </w:numPr>
        <w:spacing w:after="200" w:line="276" w:lineRule="auto"/>
        <w:rPr>
          <w:lang w:val="en-GB"/>
        </w:rPr>
      </w:pPr>
      <w:r w:rsidRPr="00E665F7">
        <w:rPr>
          <w:lang w:val="en-GB"/>
        </w:rPr>
        <w:t>Allocating funds for product development and prototyping.</w:t>
      </w:r>
    </w:p>
    <w:p w14:paraId="33043435" w14:textId="77777777" w:rsidR="00E665F7" w:rsidRPr="00E665F7" w:rsidRDefault="00E665F7" w:rsidP="00E665F7">
      <w:pPr>
        <w:numPr>
          <w:ilvl w:val="1"/>
          <w:numId w:val="39"/>
        </w:numPr>
        <w:spacing w:after="200" w:line="276" w:lineRule="auto"/>
        <w:rPr>
          <w:lang w:val="en-GB"/>
        </w:rPr>
      </w:pPr>
      <w:r w:rsidRPr="00E665F7">
        <w:rPr>
          <w:lang w:val="en-GB"/>
        </w:rPr>
        <w:t>Investing in initial marketing and sales efforts.</w:t>
      </w:r>
    </w:p>
    <w:p w14:paraId="4353A5A7" w14:textId="77777777" w:rsidR="00E665F7" w:rsidRPr="00E665F7" w:rsidRDefault="00E665F7" w:rsidP="00E665F7">
      <w:pPr>
        <w:numPr>
          <w:ilvl w:val="1"/>
          <w:numId w:val="39"/>
        </w:numPr>
        <w:spacing w:after="200" w:line="276" w:lineRule="auto"/>
        <w:rPr>
          <w:lang w:val="en-GB"/>
        </w:rPr>
      </w:pPr>
      <w:r w:rsidRPr="00E665F7">
        <w:rPr>
          <w:lang w:val="en-GB"/>
        </w:rPr>
        <w:t>Building a strong founding team.</w:t>
      </w:r>
    </w:p>
    <w:p w14:paraId="7B06CDAF" w14:textId="77777777" w:rsidR="00E665F7" w:rsidRPr="00E665F7" w:rsidRDefault="00E665F7" w:rsidP="00E665F7">
      <w:pPr>
        <w:spacing w:after="200" w:line="276" w:lineRule="auto"/>
        <w:ind w:left="720"/>
        <w:rPr>
          <w:lang w:val="en-GB"/>
        </w:rPr>
      </w:pPr>
      <w:r w:rsidRPr="00E665F7">
        <w:rPr>
          <w:b/>
          <w:bCs/>
          <w:lang w:val="en-GB"/>
        </w:rPr>
        <w:t>3. Series A Stage:</w:t>
      </w:r>
    </w:p>
    <w:p w14:paraId="4F0DA07E" w14:textId="77777777" w:rsidR="00E665F7" w:rsidRPr="00E665F7" w:rsidRDefault="00E665F7" w:rsidP="00E665F7">
      <w:pPr>
        <w:numPr>
          <w:ilvl w:val="0"/>
          <w:numId w:val="40"/>
        </w:numPr>
        <w:spacing w:after="200" w:line="276" w:lineRule="auto"/>
        <w:rPr>
          <w:lang w:val="en-GB"/>
        </w:rPr>
      </w:pPr>
      <w:r w:rsidRPr="00E665F7">
        <w:rPr>
          <w:b/>
          <w:bCs/>
          <w:lang w:val="en-GB"/>
        </w:rPr>
        <w:t>Financial Focus:</w:t>
      </w:r>
      <w:r w:rsidRPr="00E665F7">
        <w:rPr>
          <w:lang w:val="en-GB"/>
        </w:rPr>
        <w:t xml:space="preserve"> Securing significant investments from venture capitalists.</w:t>
      </w:r>
    </w:p>
    <w:p w14:paraId="58D2ED98" w14:textId="77777777" w:rsidR="00E665F7" w:rsidRPr="00E665F7" w:rsidRDefault="00E665F7" w:rsidP="00E665F7">
      <w:pPr>
        <w:numPr>
          <w:ilvl w:val="0"/>
          <w:numId w:val="40"/>
        </w:numPr>
        <w:spacing w:after="200" w:line="276" w:lineRule="auto"/>
        <w:rPr>
          <w:lang w:val="en-GB"/>
        </w:rPr>
      </w:pPr>
      <w:r w:rsidRPr="00E665F7">
        <w:rPr>
          <w:b/>
          <w:bCs/>
          <w:lang w:val="en-GB"/>
        </w:rPr>
        <w:t>Key Financial Activities:</w:t>
      </w:r>
      <w:r w:rsidRPr="00E665F7">
        <w:rPr>
          <w:lang w:val="en-GB"/>
        </w:rPr>
        <w:t xml:space="preserve"> </w:t>
      </w:r>
    </w:p>
    <w:p w14:paraId="2EF1C8AC" w14:textId="77777777" w:rsidR="00E665F7" w:rsidRPr="00E665F7" w:rsidRDefault="00E665F7" w:rsidP="00E665F7">
      <w:pPr>
        <w:numPr>
          <w:ilvl w:val="1"/>
          <w:numId w:val="40"/>
        </w:numPr>
        <w:spacing w:after="200" w:line="276" w:lineRule="auto"/>
        <w:rPr>
          <w:lang w:val="en-GB"/>
        </w:rPr>
      </w:pPr>
      <w:r w:rsidRPr="00E665F7">
        <w:rPr>
          <w:lang w:val="en-GB"/>
        </w:rPr>
        <w:t>Scaling operations and expanding the team.</w:t>
      </w:r>
    </w:p>
    <w:p w14:paraId="0CAC29E8" w14:textId="77777777" w:rsidR="00E665F7" w:rsidRPr="00E665F7" w:rsidRDefault="00E665F7" w:rsidP="00E665F7">
      <w:pPr>
        <w:numPr>
          <w:ilvl w:val="1"/>
          <w:numId w:val="40"/>
        </w:numPr>
        <w:spacing w:after="200" w:line="276" w:lineRule="auto"/>
        <w:rPr>
          <w:lang w:val="en-GB"/>
        </w:rPr>
      </w:pPr>
      <w:r w:rsidRPr="00E665F7">
        <w:rPr>
          <w:lang w:val="en-GB"/>
        </w:rPr>
        <w:t>Investing in marketing and sales to drive growth.</w:t>
      </w:r>
    </w:p>
    <w:p w14:paraId="43D05E55" w14:textId="77777777" w:rsidR="00E665F7" w:rsidRPr="00E665F7" w:rsidRDefault="00E665F7" w:rsidP="00E665F7">
      <w:pPr>
        <w:numPr>
          <w:ilvl w:val="1"/>
          <w:numId w:val="40"/>
        </w:numPr>
        <w:spacing w:after="200" w:line="276" w:lineRule="auto"/>
        <w:rPr>
          <w:lang w:val="en-GB"/>
        </w:rPr>
      </w:pPr>
      <w:r w:rsidRPr="00E665F7">
        <w:rPr>
          <w:lang w:val="en-GB"/>
        </w:rPr>
        <w:t>Strengthening financial controls and reporting.</w:t>
      </w:r>
    </w:p>
    <w:p w14:paraId="2BBFAD6F" w14:textId="77777777" w:rsidR="00E665F7" w:rsidRPr="00E665F7" w:rsidRDefault="00E665F7" w:rsidP="00E665F7">
      <w:pPr>
        <w:spacing w:after="200" w:line="276" w:lineRule="auto"/>
        <w:ind w:left="720"/>
        <w:rPr>
          <w:lang w:val="en-GB"/>
        </w:rPr>
      </w:pPr>
      <w:r w:rsidRPr="00E665F7">
        <w:rPr>
          <w:b/>
          <w:bCs/>
          <w:lang w:val="en-GB"/>
        </w:rPr>
        <w:t>4. Growth Stage:</w:t>
      </w:r>
    </w:p>
    <w:p w14:paraId="736D4AE5" w14:textId="77777777" w:rsidR="00E665F7" w:rsidRPr="00E665F7" w:rsidRDefault="00E665F7" w:rsidP="00E665F7">
      <w:pPr>
        <w:numPr>
          <w:ilvl w:val="0"/>
          <w:numId w:val="41"/>
        </w:numPr>
        <w:spacing w:after="200" w:line="276" w:lineRule="auto"/>
        <w:rPr>
          <w:lang w:val="en-GB"/>
        </w:rPr>
      </w:pPr>
      <w:r w:rsidRPr="00E665F7">
        <w:rPr>
          <w:b/>
          <w:bCs/>
          <w:lang w:val="en-GB"/>
        </w:rPr>
        <w:t>Financial Focus:</w:t>
      </w:r>
      <w:r w:rsidRPr="00E665F7">
        <w:rPr>
          <w:lang w:val="en-GB"/>
        </w:rPr>
        <w:t xml:space="preserve"> Maintaining a balance between revenue and expenses.</w:t>
      </w:r>
    </w:p>
    <w:p w14:paraId="42DF2FA6" w14:textId="77777777" w:rsidR="00E665F7" w:rsidRPr="00E665F7" w:rsidRDefault="00E665F7" w:rsidP="00E665F7">
      <w:pPr>
        <w:numPr>
          <w:ilvl w:val="0"/>
          <w:numId w:val="41"/>
        </w:numPr>
        <w:spacing w:after="200" w:line="276" w:lineRule="auto"/>
        <w:rPr>
          <w:lang w:val="en-GB"/>
        </w:rPr>
      </w:pPr>
      <w:r w:rsidRPr="00E665F7">
        <w:rPr>
          <w:b/>
          <w:bCs/>
          <w:lang w:val="en-GB"/>
        </w:rPr>
        <w:t>Key Financial Activities:</w:t>
      </w:r>
      <w:r w:rsidRPr="00E665F7">
        <w:rPr>
          <w:lang w:val="en-GB"/>
        </w:rPr>
        <w:t xml:space="preserve"> </w:t>
      </w:r>
    </w:p>
    <w:p w14:paraId="0733C1E9" w14:textId="77777777" w:rsidR="00E665F7" w:rsidRPr="00E665F7" w:rsidRDefault="00E665F7" w:rsidP="00E665F7">
      <w:pPr>
        <w:numPr>
          <w:ilvl w:val="1"/>
          <w:numId w:val="41"/>
        </w:numPr>
        <w:spacing w:after="200" w:line="276" w:lineRule="auto"/>
        <w:rPr>
          <w:lang w:val="en-GB"/>
        </w:rPr>
      </w:pPr>
      <w:r w:rsidRPr="00E665F7">
        <w:rPr>
          <w:lang w:val="en-GB"/>
        </w:rPr>
        <w:t>Optimizing cash flow and managing working capital.</w:t>
      </w:r>
    </w:p>
    <w:p w14:paraId="67A2A983" w14:textId="77777777" w:rsidR="00E665F7" w:rsidRPr="00E665F7" w:rsidRDefault="00E665F7" w:rsidP="00E665F7">
      <w:pPr>
        <w:numPr>
          <w:ilvl w:val="1"/>
          <w:numId w:val="41"/>
        </w:numPr>
        <w:spacing w:after="200" w:line="276" w:lineRule="auto"/>
        <w:rPr>
          <w:lang w:val="en-GB"/>
        </w:rPr>
      </w:pPr>
      <w:r w:rsidRPr="00E665F7">
        <w:rPr>
          <w:lang w:val="en-GB"/>
        </w:rPr>
        <w:t>Implementing financial forecasting and planning.</w:t>
      </w:r>
    </w:p>
    <w:p w14:paraId="664DE453" w14:textId="77777777" w:rsidR="00E665F7" w:rsidRPr="00E665F7" w:rsidRDefault="00E665F7" w:rsidP="00E665F7">
      <w:pPr>
        <w:numPr>
          <w:ilvl w:val="1"/>
          <w:numId w:val="41"/>
        </w:numPr>
        <w:spacing w:after="200" w:line="276" w:lineRule="auto"/>
        <w:rPr>
          <w:lang w:val="en-GB"/>
        </w:rPr>
      </w:pPr>
      <w:r w:rsidRPr="00E665F7">
        <w:rPr>
          <w:lang w:val="en-GB"/>
        </w:rPr>
        <w:t>Considering strategic acquisitions or partnerships.</w:t>
      </w:r>
    </w:p>
    <w:p w14:paraId="553D26E8" w14:textId="77777777" w:rsidR="00E665F7" w:rsidRPr="00E665F7" w:rsidRDefault="00E665F7" w:rsidP="00E665F7">
      <w:pPr>
        <w:spacing w:after="200" w:line="276" w:lineRule="auto"/>
        <w:ind w:left="720"/>
        <w:rPr>
          <w:lang w:val="en-GB"/>
        </w:rPr>
      </w:pPr>
      <w:r w:rsidRPr="00E665F7">
        <w:rPr>
          <w:b/>
          <w:bCs/>
          <w:lang w:val="en-GB"/>
        </w:rPr>
        <w:t>5. Expansion Stage:</w:t>
      </w:r>
    </w:p>
    <w:p w14:paraId="260A7B8F" w14:textId="77777777" w:rsidR="00E665F7" w:rsidRPr="00E665F7" w:rsidRDefault="00E665F7" w:rsidP="00E665F7">
      <w:pPr>
        <w:numPr>
          <w:ilvl w:val="0"/>
          <w:numId w:val="42"/>
        </w:numPr>
        <w:spacing w:after="200" w:line="276" w:lineRule="auto"/>
        <w:rPr>
          <w:lang w:val="en-GB"/>
        </w:rPr>
      </w:pPr>
      <w:r w:rsidRPr="00E665F7">
        <w:rPr>
          <w:b/>
          <w:bCs/>
          <w:lang w:val="en-GB"/>
        </w:rPr>
        <w:t>Financial Focus:</w:t>
      </w:r>
      <w:r w:rsidRPr="00E665F7">
        <w:rPr>
          <w:lang w:val="en-GB"/>
        </w:rPr>
        <w:t xml:space="preserve"> Raising additional funds to fuel expansion.</w:t>
      </w:r>
    </w:p>
    <w:p w14:paraId="7B32D84A" w14:textId="77777777" w:rsidR="00E665F7" w:rsidRPr="00E665F7" w:rsidRDefault="00E665F7" w:rsidP="00E665F7">
      <w:pPr>
        <w:numPr>
          <w:ilvl w:val="0"/>
          <w:numId w:val="42"/>
        </w:numPr>
        <w:spacing w:after="200" w:line="276" w:lineRule="auto"/>
        <w:rPr>
          <w:lang w:val="en-GB"/>
        </w:rPr>
      </w:pPr>
      <w:r w:rsidRPr="00E665F7">
        <w:rPr>
          <w:b/>
          <w:bCs/>
          <w:lang w:val="en-GB"/>
        </w:rPr>
        <w:t>Key Financial Activities:</w:t>
      </w:r>
      <w:r w:rsidRPr="00E665F7">
        <w:rPr>
          <w:lang w:val="en-GB"/>
        </w:rPr>
        <w:t xml:space="preserve"> </w:t>
      </w:r>
    </w:p>
    <w:p w14:paraId="68A089B0" w14:textId="77777777" w:rsidR="00E665F7" w:rsidRPr="00E665F7" w:rsidRDefault="00E665F7" w:rsidP="00E665F7">
      <w:pPr>
        <w:numPr>
          <w:ilvl w:val="1"/>
          <w:numId w:val="42"/>
        </w:numPr>
        <w:spacing w:after="200" w:line="276" w:lineRule="auto"/>
        <w:rPr>
          <w:lang w:val="en-GB"/>
        </w:rPr>
      </w:pPr>
      <w:r w:rsidRPr="00E665F7">
        <w:rPr>
          <w:lang w:val="en-GB"/>
        </w:rPr>
        <w:t>Investing in new markets and product lines.</w:t>
      </w:r>
    </w:p>
    <w:p w14:paraId="71CF1A0C" w14:textId="77777777" w:rsidR="00E665F7" w:rsidRPr="00E665F7" w:rsidRDefault="00E665F7" w:rsidP="00E665F7">
      <w:pPr>
        <w:numPr>
          <w:ilvl w:val="1"/>
          <w:numId w:val="42"/>
        </w:numPr>
        <w:spacing w:after="200" w:line="276" w:lineRule="auto"/>
        <w:rPr>
          <w:lang w:val="en-GB"/>
        </w:rPr>
      </w:pPr>
      <w:r w:rsidRPr="00E665F7">
        <w:rPr>
          <w:lang w:val="en-GB"/>
        </w:rPr>
        <w:t>Managing multiple revenue streams.</w:t>
      </w:r>
    </w:p>
    <w:p w14:paraId="31273AE4" w14:textId="77777777" w:rsidR="00E665F7" w:rsidRPr="00E665F7" w:rsidRDefault="00E665F7" w:rsidP="00E665F7">
      <w:pPr>
        <w:numPr>
          <w:ilvl w:val="1"/>
          <w:numId w:val="42"/>
        </w:numPr>
        <w:spacing w:after="200" w:line="276" w:lineRule="auto"/>
        <w:rPr>
          <w:lang w:val="en-GB"/>
        </w:rPr>
      </w:pPr>
      <w:r w:rsidRPr="00E665F7">
        <w:rPr>
          <w:lang w:val="en-GB"/>
        </w:rPr>
        <w:t>Strengthening financial controls and risk management.</w:t>
      </w:r>
    </w:p>
    <w:p w14:paraId="490B1279" w14:textId="77777777" w:rsidR="00E665F7" w:rsidRPr="00E665F7" w:rsidRDefault="00E665F7" w:rsidP="00E665F7">
      <w:pPr>
        <w:spacing w:after="200" w:line="276" w:lineRule="auto"/>
        <w:ind w:left="720"/>
        <w:rPr>
          <w:lang w:val="en-GB"/>
        </w:rPr>
      </w:pPr>
      <w:r w:rsidRPr="00E665F7">
        <w:rPr>
          <w:b/>
          <w:bCs/>
          <w:lang w:val="en-GB"/>
        </w:rPr>
        <w:t>6. Mature Stage:</w:t>
      </w:r>
    </w:p>
    <w:p w14:paraId="48D07709" w14:textId="77777777" w:rsidR="00E665F7" w:rsidRPr="00E665F7" w:rsidRDefault="00E665F7" w:rsidP="00E665F7">
      <w:pPr>
        <w:numPr>
          <w:ilvl w:val="0"/>
          <w:numId w:val="43"/>
        </w:numPr>
        <w:spacing w:after="200" w:line="276" w:lineRule="auto"/>
        <w:rPr>
          <w:lang w:val="en-GB"/>
        </w:rPr>
      </w:pPr>
      <w:r w:rsidRPr="00E665F7">
        <w:rPr>
          <w:b/>
          <w:bCs/>
          <w:lang w:val="en-GB"/>
        </w:rPr>
        <w:t>Financial Focus:</w:t>
      </w:r>
      <w:r w:rsidRPr="00E665F7">
        <w:rPr>
          <w:lang w:val="en-GB"/>
        </w:rPr>
        <w:t xml:space="preserve"> Achieving stability and profitability.</w:t>
      </w:r>
    </w:p>
    <w:p w14:paraId="00736E43" w14:textId="77777777" w:rsidR="00E665F7" w:rsidRPr="00E665F7" w:rsidRDefault="00E665F7" w:rsidP="00E665F7">
      <w:pPr>
        <w:numPr>
          <w:ilvl w:val="0"/>
          <w:numId w:val="43"/>
        </w:numPr>
        <w:spacing w:after="200" w:line="276" w:lineRule="auto"/>
        <w:rPr>
          <w:lang w:val="en-GB"/>
        </w:rPr>
      </w:pPr>
      <w:r w:rsidRPr="00E665F7">
        <w:rPr>
          <w:b/>
          <w:bCs/>
          <w:lang w:val="en-GB"/>
        </w:rPr>
        <w:lastRenderedPageBreak/>
        <w:t>Key Financial Activities:</w:t>
      </w:r>
      <w:r w:rsidRPr="00E665F7">
        <w:rPr>
          <w:lang w:val="en-GB"/>
        </w:rPr>
        <w:t xml:space="preserve"> </w:t>
      </w:r>
    </w:p>
    <w:p w14:paraId="6759B995" w14:textId="77777777" w:rsidR="00E665F7" w:rsidRPr="00E665F7" w:rsidRDefault="00E665F7" w:rsidP="00E665F7">
      <w:pPr>
        <w:numPr>
          <w:ilvl w:val="1"/>
          <w:numId w:val="43"/>
        </w:numPr>
        <w:spacing w:after="200" w:line="276" w:lineRule="auto"/>
        <w:rPr>
          <w:lang w:val="en-GB"/>
        </w:rPr>
      </w:pPr>
      <w:r w:rsidRPr="00E665F7">
        <w:rPr>
          <w:lang w:val="en-GB"/>
        </w:rPr>
        <w:t>Optimizing operations and reducing costs.</w:t>
      </w:r>
    </w:p>
    <w:p w14:paraId="783180A3" w14:textId="77777777" w:rsidR="00E665F7" w:rsidRPr="00E665F7" w:rsidRDefault="00E665F7" w:rsidP="00E665F7">
      <w:pPr>
        <w:numPr>
          <w:ilvl w:val="1"/>
          <w:numId w:val="43"/>
        </w:numPr>
        <w:spacing w:after="200" w:line="276" w:lineRule="auto"/>
        <w:rPr>
          <w:lang w:val="en-GB"/>
        </w:rPr>
      </w:pPr>
      <w:r w:rsidRPr="00E665F7">
        <w:rPr>
          <w:lang w:val="en-GB"/>
        </w:rPr>
        <w:t>Exploring strategic exits, such as IPOs or acquisitions.</w:t>
      </w:r>
    </w:p>
    <w:p w14:paraId="1E20EE05" w14:textId="77777777" w:rsidR="00E665F7" w:rsidRPr="00E665F7" w:rsidRDefault="00E665F7" w:rsidP="00E665F7">
      <w:pPr>
        <w:numPr>
          <w:ilvl w:val="1"/>
          <w:numId w:val="43"/>
        </w:numPr>
        <w:spacing w:after="200" w:line="276" w:lineRule="auto"/>
        <w:rPr>
          <w:lang w:val="en-GB"/>
        </w:rPr>
      </w:pPr>
      <w:r w:rsidRPr="00E665F7">
        <w:rPr>
          <w:lang w:val="en-GB"/>
        </w:rPr>
        <w:t>Implementing dividend policies or share buybacks.</w:t>
      </w:r>
    </w:p>
    <w:p w14:paraId="7057F295" w14:textId="77777777" w:rsidR="00E665F7" w:rsidRPr="00E665F7" w:rsidRDefault="00E665F7" w:rsidP="00E665F7">
      <w:pPr>
        <w:spacing w:after="200" w:line="276" w:lineRule="auto"/>
        <w:ind w:left="720"/>
        <w:rPr>
          <w:lang w:val="en-GB"/>
        </w:rPr>
      </w:pPr>
      <w:r w:rsidRPr="00E665F7">
        <w:rPr>
          <w:b/>
          <w:bCs/>
          <w:lang w:val="en-GB"/>
        </w:rPr>
        <w:t>7. Exit Stage:</w:t>
      </w:r>
    </w:p>
    <w:p w14:paraId="790223E1" w14:textId="77777777" w:rsidR="00E665F7" w:rsidRPr="00E665F7" w:rsidRDefault="00E665F7" w:rsidP="00E665F7">
      <w:pPr>
        <w:numPr>
          <w:ilvl w:val="0"/>
          <w:numId w:val="44"/>
        </w:numPr>
        <w:spacing w:after="200" w:line="276" w:lineRule="auto"/>
        <w:rPr>
          <w:lang w:val="en-GB"/>
        </w:rPr>
      </w:pPr>
      <w:r w:rsidRPr="00E665F7">
        <w:rPr>
          <w:b/>
          <w:bCs/>
          <w:lang w:val="en-GB"/>
        </w:rPr>
        <w:t>Financial Focus:</w:t>
      </w:r>
      <w:r w:rsidRPr="00E665F7">
        <w:rPr>
          <w:lang w:val="en-GB"/>
        </w:rPr>
        <w:t xml:space="preserve"> Realizing returns for investors.</w:t>
      </w:r>
    </w:p>
    <w:p w14:paraId="6227625A" w14:textId="77777777" w:rsidR="00E665F7" w:rsidRPr="00E665F7" w:rsidRDefault="00E665F7" w:rsidP="00E665F7">
      <w:pPr>
        <w:numPr>
          <w:ilvl w:val="0"/>
          <w:numId w:val="44"/>
        </w:numPr>
        <w:spacing w:after="200" w:line="276" w:lineRule="auto"/>
        <w:rPr>
          <w:lang w:val="en-GB"/>
        </w:rPr>
      </w:pPr>
      <w:r w:rsidRPr="00E665F7">
        <w:rPr>
          <w:b/>
          <w:bCs/>
          <w:lang w:val="en-GB"/>
        </w:rPr>
        <w:t>Key Financial Activities:</w:t>
      </w:r>
      <w:r w:rsidRPr="00E665F7">
        <w:rPr>
          <w:lang w:val="en-GB"/>
        </w:rPr>
        <w:t xml:space="preserve"> </w:t>
      </w:r>
    </w:p>
    <w:p w14:paraId="1BF4FB07" w14:textId="77777777" w:rsidR="00E665F7" w:rsidRPr="00E665F7" w:rsidRDefault="00E665F7" w:rsidP="00E665F7">
      <w:pPr>
        <w:numPr>
          <w:ilvl w:val="1"/>
          <w:numId w:val="44"/>
        </w:numPr>
        <w:spacing w:after="200" w:line="276" w:lineRule="auto"/>
        <w:rPr>
          <w:lang w:val="en-GB"/>
        </w:rPr>
      </w:pPr>
      <w:r w:rsidRPr="00E665F7">
        <w:rPr>
          <w:lang w:val="en-GB"/>
        </w:rPr>
        <w:t>Preparing for IPO or acquisition.</w:t>
      </w:r>
    </w:p>
    <w:p w14:paraId="204EF757" w14:textId="77777777" w:rsidR="00E665F7" w:rsidRPr="00E665F7" w:rsidRDefault="00E665F7" w:rsidP="00E665F7">
      <w:pPr>
        <w:numPr>
          <w:ilvl w:val="1"/>
          <w:numId w:val="44"/>
        </w:numPr>
        <w:spacing w:after="200" w:line="276" w:lineRule="auto"/>
        <w:rPr>
          <w:lang w:val="en-GB"/>
        </w:rPr>
      </w:pPr>
      <w:r w:rsidRPr="00E665F7">
        <w:rPr>
          <w:lang w:val="en-GB"/>
        </w:rPr>
        <w:t xml:space="preserve">Maximizing valuation and negotiating </w:t>
      </w:r>
      <w:proofErr w:type="spellStart"/>
      <w:r w:rsidRPr="00E665F7">
        <w:rPr>
          <w:lang w:val="en-GB"/>
        </w:rPr>
        <w:t>favorable</w:t>
      </w:r>
      <w:proofErr w:type="spellEnd"/>
      <w:r w:rsidRPr="00E665F7">
        <w:rPr>
          <w:lang w:val="en-GB"/>
        </w:rPr>
        <w:t xml:space="preserve"> terms.</w:t>
      </w:r>
    </w:p>
    <w:p w14:paraId="10737623" w14:textId="77777777" w:rsidR="00E665F7" w:rsidRPr="00E665F7" w:rsidRDefault="00E665F7" w:rsidP="00E665F7">
      <w:pPr>
        <w:numPr>
          <w:ilvl w:val="1"/>
          <w:numId w:val="44"/>
        </w:numPr>
        <w:spacing w:after="200" w:line="276" w:lineRule="auto"/>
        <w:rPr>
          <w:lang w:val="en-GB"/>
        </w:rPr>
      </w:pPr>
      <w:r w:rsidRPr="00E665F7">
        <w:rPr>
          <w:lang w:val="en-GB"/>
        </w:rPr>
        <w:t>Managing the transition process.</w:t>
      </w:r>
    </w:p>
    <w:p w14:paraId="3887D2AA" w14:textId="77777777" w:rsidR="00E665F7" w:rsidRPr="00E665F7" w:rsidRDefault="00E665F7" w:rsidP="00E665F7">
      <w:pPr>
        <w:numPr>
          <w:ilvl w:val="0"/>
          <w:numId w:val="45"/>
        </w:numPr>
        <w:spacing w:after="200" w:line="276" w:lineRule="auto"/>
        <w:rPr>
          <w:b/>
          <w:bCs/>
          <w:lang w:val="en-GB"/>
        </w:rPr>
      </w:pPr>
      <w:proofErr w:type="spellStart"/>
      <w:r w:rsidRPr="00E665F7">
        <w:rPr>
          <w:b/>
          <w:bCs/>
          <w:lang w:val="en-GB"/>
        </w:rPr>
        <w:t>Analyzing</w:t>
      </w:r>
      <w:proofErr w:type="spellEnd"/>
      <w:r w:rsidRPr="00E665F7">
        <w:rPr>
          <w:b/>
          <w:bCs/>
          <w:lang w:val="en-GB"/>
        </w:rPr>
        <w:t xml:space="preserve"> a Hypothetical Startup Balance Sheet</w:t>
      </w:r>
    </w:p>
    <w:p w14:paraId="4DA99534" w14:textId="77777777" w:rsidR="00E665F7" w:rsidRPr="00E665F7" w:rsidRDefault="00E665F7" w:rsidP="00E665F7">
      <w:pPr>
        <w:spacing w:after="200" w:line="276" w:lineRule="auto"/>
        <w:ind w:left="720"/>
        <w:rPr>
          <w:lang w:val="en-GB"/>
        </w:rPr>
      </w:pPr>
      <w:r w:rsidRPr="00E665F7">
        <w:rPr>
          <w:b/>
          <w:bCs/>
          <w:lang w:val="en-GB"/>
        </w:rPr>
        <w:t>Hypothetical Balance Sheet for a Tech Startup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1860"/>
        <w:gridCol w:w="2767"/>
        <w:gridCol w:w="1875"/>
      </w:tblGrid>
      <w:tr w:rsidR="00E665F7" w:rsidRPr="00E665F7" w14:paraId="0BA65C06" w14:textId="77777777" w:rsidTr="00E665F7">
        <w:trPr>
          <w:tblCellSpacing w:w="15" w:type="dxa"/>
        </w:trPr>
        <w:tc>
          <w:tcPr>
            <w:tcW w:w="0" w:type="auto"/>
            <w:vAlign w:val="center"/>
            <w:hideMark/>
          </w:tcPr>
          <w:p w14:paraId="7DCDD6BC" w14:textId="77777777" w:rsidR="00E665F7" w:rsidRPr="00E665F7" w:rsidRDefault="00E665F7" w:rsidP="00E665F7">
            <w:pPr>
              <w:spacing w:after="200" w:line="276" w:lineRule="auto"/>
              <w:ind w:left="720"/>
              <w:rPr>
                <w:b/>
                <w:bCs/>
                <w:lang w:val="en-GB"/>
              </w:rPr>
            </w:pPr>
            <w:r w:rsidRPr="00E665F7">
              <w:rPr>
                <w:b/>
                <w:bCs/>
                <w:lang w:val="en-GB"/>
              </w:rPr>
              <w:t>Assets</w:t>
            </w:r>
          </w:p>
        </w:tc>
        <w:tc>
          <w:tcPr>
            <w:tcW w:w="0" w:type="auto"/>
            <w:vAlign w:val="center"/>
            <w:hideMark/>
          </w:tcPr>
          <w:p w14:paraId="5CB3EB3F" w14:textId="77777777" w:rsidR="00E665F7" w:rsidRPr="00E665F7" w:rsidRDefault="00E665F7" w:rsidP="00E665F7">
            <w:pPr>
              <w:spacing w:after="200" w:line="276" w:lineRule="auto"/>
              <w:ind w:left="720"/>
              <w:rPr>
                <w:b/>
                <w:bCs/>
                <w:lang w:val="en-GB"/>
              </w:rPr>
            </w:pPr>
            <w:r w:rsidRPr="00E665F7">
              <w:rPr>
                <w:b/>
                <w:bCs/>
                <w:lang w:val="en-GB"/>
              </w:rPr>
              <w:t>Amount</w:t>
            </w:r>
          </w:p>
        </w:tc>
        <w:tc>
          <w:tcPr>
            <w:tcW w:w="0" w:type="auto"/>
            <w:vAlign w:val="center"/>
            <w:hideMark/>
          </w:tcPr>
          <w:p w14:paraId="7D54C0F3" w14:textId="77777777" w:rsidR="00E665F7" w:rsidRPr="00E665F7" w:rsidRDefault="00E665F7" w:rsidP="00E665F7">
            <w:pPr>
              <w:spacing w:after="200" w:line="276" w:lineRule="auto"/>
              <w:ind w:left="720"/>
              <w:rPr>
                <w:b/>
                <w:bCs/>
                <w:lang w:val="en-GB"/>
              </w:rPr>
            </w:pPr>
            <w:r w:rsidRPr="00E665F7">
              <w:rPr>
                <w:b/>
                <w:bCs/>
                <w:lang w:val="en-GB"/>
              </w:rPr>
              <w:t>Liabilities and Shareholder's Equity</w:t>
            </w:r>
          </w:p>
        </w:tc>
        <w:tc>
          <w:tcPr>
            <w:tcW w:w="0" w:type="auto"/>
            <w:vAlign w:val="center"/>
            <w:hideMark/>
          </w:tcPr>
          <w:p w14:paraId="377B2E27" w14:textId="77777777" w:rsidR="00E665F7" w:rsidRPr="00E665F7" w:rsidRDefault="00E665F7" w:rsidP="00E665F7">
            <w:pPr>
              <w:spacing w:after="200" w:line="276" w:lineRule="auto"/>
              <w:ind w:left="720"/>
              <w:rPr>
                <w:b/>
                <w:bCs/>
                <w:lang w:val="en-GB"/>
              </w:rPr>
            </w:pPr>
            <w:r w:rsidRPr="00E665F7">
              <w:rPr>
                <w:b/>
                <w:bCs/>
                <w:lang w:val="en-GB"/>
              </w:rPr>
              <w:t>Amount</w:t>
            </w:r>
          </w:p>
        </w:tc>
      </w:tr>
      <w:tr w:rsidR="00E665F7" w:rsidRPr="00E665F7" w14:paraId="4E3DE5D3" w14:textId="77777777" w:rsidTr="00E665F7">
        <w:trPr>
          <w:tblCellSpacing w:w="15" w:type="dxa"/>
        </w:trPr>
        <w:tc>
          <w:tcPr>
            <w:tcW w:w="0" w:type="auto"/>
            <w:vAlign w:val="center"/>
            <w:hideMark/>
          </w:tcPr>
          <w:p w14:paraId="0824FB18" w14:textId="77777777" w:rsidR="00E665F7" w:rsidRPr="00E665F7" w:rsidRDefault="00E665F7" w:rsidP="00E665F7">
            <w:pPr>
              <w:spacing w:after="200" w:line="276" w:lineRule="auto"/>
              <w:ind w:left="720"/>
              <w:rPr>
                <w:lang w:val="en-GB"/>
              </w:rPr>
            </w:pPr>
            <w:r w:rsidRPr="00E665F7">
              <w:rPr>
                <w:b/>
                <w:bCs/>
                <w:lang w:val="en-GB"/>
              </w:rPr>
              <w:t>Current Assets</w:t>
            </w:r>
          </w:p>
        </w:tc>
        <w:tc>
          <w:tcPr>
            <w:tcW w:w="0" w:type="auto"/>
            <w:vAlign w:val="center"/>
            <w:hideMark/>
          </w:tcPr>
          <w:p w14:paraId="0DC181F1" w14:textId="77777777" w:rsidR="00E665F7" w:rsidRPr="00E665F7" w:rsidRDefault="00E665F7" w:rsidP="00E665F7">
            <w:pPr>
              <w:spacing w:after="200" w:line="276" w:lineRule="auto"/>
              <w:ind w:left="720"/>
              <w:rPr>
                <w:lang w:val="en-GB"/>
              </w:rPr>
            </w:pPr>
          </w:p>
        </w:tc>
        <w:tc>
          <w:tcPr>
            <w:tcW w:w="0" w:type="auto"/>
            <w:vAlign w:val="center"/>
            <w:hideMark/>
          </w:tcPr>
          <w:p w14:paraId="53A2B332" w14:textId="77777777" w:rsidR="00E665F7" w:rsidRPr="00E665F7" w:rsidRDefault="00E665F7" w:rsidP="00E665F7">
            <w:pPr>
              <w:spacing w:after="200" w:line="276" w:lineRule="auto"/>
              <w:ind w:left="720"/>
              <w:rPr>
                <w:lang w:val="en-GB"/>
              </w:rPr>
            </w:pPr>
            <w:r w:rsidRPr="00E665F7">
              <w:rPr>
                <w:b/>
                <w:bCs/>
                <w:lang w:val="en-GB"/>
              </w:rPr>
              <w:t>Current Liabilities</w:t>
            </w:r>
          </w:p>
        </w:tc>
        <w:tc>
          <w:tcPr>
            <w:tcW w:w="0" w:type="auto"/>
            <w:vAlign w:val="center"/>
            <w:hideMark/>
          </w:tcPr>
          <w:p w14:paraId="23C16B4B" w14:textId="77777777" w:rsidR="00E665F7" w:rsidRPr="00E665F7" w:rsidRDefault="00E665F7" w:rsidP="00E665F7">
            <w:pPr>
              <w:spacing w:after="200" w:line="276" w:lineRule="auto"/>
              <w:ind w:left="720"/>
              <w:rPr>
                <w:lang w:val="en-GB"/>
              </w:rPr>
            </w:pPr>
          </w:p>
        </w:tc>
      </w:tr>
      <w:tr w:rsidR="00E665F7" w:rsidRPr="00E665F7" w14:paraId="47B638AD" w14:textId="77777777" w:rsidTr="00E665F7">
        <w:trPr>
          <w:tblCellSpacing w:w="15" w:type="dxa"/>
        </w:trPr>
        <w:tc>
          <w:tcPr>
            <w:tcW w:w="0" w:type="auto"/>
            <w:vAlign w:val="center"/>
            <w:hideMark/>
          </w:tcPr>
          <w:p w14:paraId="37A6B7BB" w14:textId="77777777" w:rsidR="00E665F7" w:rsidRPr="00E665F7" w:rsidRDefault="00E665F7" w:rsidP="00E665F7">
            <w:pPr>
              <w:spacing w:after="200" w:line="276" w:lineRule="auto"/>
              <w:ind w:left="720"/>
              <w:rPr>
                <w:lang w:val="en-GB"/>
              </w:rPr>
            </w:pPr>
            <w:r w:rsidRPr="00E665F7">
              <w:rPr>
                <w:lang w:val="en-GB"/>
              </w:rPr>
              <w:t>Cash and Cash Equivalents</w:t>
            </w:r>
          </w:p>
        </w:tc>
        <w:tc>
          <w:tcPr>
            <w:tcW w:w="0" w:type="auto"/>
            <w:vAlign w:val="center"/>
            <w:hideMark/>
          </w:tcPr>
          <w:p w14:paraId="11E33FE0" w14:textId="77777777" w:rsidR="00E665F7" w:rsidRPr="00E665F7" w:rsidRDefault="00E665F7" w:rsidP="00E665F7">
            <w:pPr>
              <w:spacing w:after="200" w:line="276" w:lineRule="auto"/>
              <w:ind w:left="720"/>
              <w:rPr>
                <w:lang w:val="en-GB"/>
              </w:rPr>
            </w:pPr>
            <w:r w:rsidRPr="00E665F7">
              <w:rPr>
                <w:lang w:val="en-GB"/>
              </w:rPr>
              <w:t>$1,000,000</w:t>
            </w:r>
          </w:p>
        </w:tc>
        <w:tc>
          <w:tcPr>
            <w:tcW w:w="0" w:type="auto"/>
            <w:vAlign w:val="center"/>
            <w:hideMark/>
          </w:tcPr>
          <w:p w14:paraId="56163E07" w14:textId="77777777" w:rsidR="00E665F7" w:rsidRPr="00E665F7" w:rsidRDefault="00E665F7" w:rsidP="00E665F7">
            <w:pPr>
              <w:spacing w:after="200" w:line="276" w:lineRule="auto"/>
              <w:ind w:left="720"/>
              <w:rPr>
                <w:lang w:val="en-GB"/>
              </w:rPr>
            </w:pPr>
            <w:r w:rsidRPr="00E665F7">
              <w:rPr>
                <w:lang w:val="en-GB"/>
              </w:rPr>
              <w:t>Accounts Payable</w:t>
            </w:r>
          </w:p>
        </w:tc>
        <w:tc>
          <w:tcPr>
            <w:tcW w:w="0" w:type="auto"/>
            <w:vAlign w:val="center"/>
            <w:hideMark/>
          </w:tcPr>
          <w:p w14:paraId="2E568197" w14:textId="77777777" w:rsidR="00E665F7" w:rsidRPr="00E665F7" w:rsidRDefault="00E665F7" w:rsidP="00E665F7">
            <w:pPr>
              <w:spacing w:after="200" w:line="276" w:lineRule="auto"/>
              <w:ind w:left="720"/>
              <w:rPr>
                <w:lang w:val="en-GB"/>
              </w:rPr>
            </w:pPr>
            <w:r w:rsidRPr="00E665F7">
              <w:rPr>
                <w:lang w:val="en-GB"/>
              </w:rPr>
              <w:t>$200,000</w:t>
            </w:r>
          </w:p>
        </w:tc>
      </w:tr>
      <w:tr w:rsidR="00E665F7" w:rsidRPr="00E665F7" w14:paraId="612DA99A" w14:textId="77777777" w:rsidTr="00E665F7">
        <w:trPr>
          <w:tblCellSpacing w:w="15" w:type="dxa"/>
        </w:trPr>
        <w:tc>
          <w:tcPr>
            <w:tcW w:w="0" w:type="auto"/>
            <w:vAlign w:val="center"/>
            <w:hideMark/>
          </w:tcPr>
          <w:p w14:paraId="34A90EE1" w14:textId="77777777" w:rsidR="00E665F7" w:rsidRPr="00E665F7" w:rsidRDefault="00E665F7" w:rsidP="00E665F7">
            <w:pPr>
              <w:spacing w:after="200" w:line="276" w:lineRule="auto"/>
              <w:ind w:left="720"/>
              <w:rPr>
                <w:lang w:val="en-GB"/>
              </w:rPr>
            </w:pPr>
            <w:r w:rsidRPr="00E665F7">
              <w:rPr>
                <w:lang w:val="en-GB"/>
              </w:rPr>
              <w:t>Accounts Receivable</w:t>
            </w:r>
          </w:p>
        </w:tc>
        <w:tc>
          <w:tcPr>
            <w:tcW w:w="0" w:type="auto"/>
            <w:vAlign w:val="center"/>
            <w:hideMark/>
          </w:tcPr>
          <w:p w14:paraId="54AC92E5" w14:textId="77777777" w:rsidR="00E665F7" w:rsidRPr="00E665F7" w:rsidRDefault="00E665F7" w:rsidP="00E665F7">
            <w:pPr>
              <w:spacing w:after="200" w:line="276" w:lineRule="auto"/>
              <w:ind w:left="720"/>
              <w:rPr>
                <w:lang w:val="en-GB"/>
              </w:rPr>
            </w:pPr>
            <w:r w:rsidRPr="00E665F7">
              <w:rPr>
                <w:lang w:val="en-GB"/>
              </w:rPr>
              <w:t>$500,000</w:t>
            </w:r>
          </w:p>
        </w:tc>
        <w:tc>
          <w:tcPr>
            <w:tcW w:w="0" w:type="auto"/>
            <w:vAlign w:val="center"/>
            <w:hideMark/>
          </w:tcPr>
          <w:p w14:paraId="7B8C4E21" w14:textId="77777777" w:rsidR="00E665F7" w:rsidRPr="00E665F7" w:rsidRDefault="00E665F7" w:rsidP="00E665F7">
            <w:pPr>
              <w:spacing w:after="200" w:line="276" w:lineRule="auto"/>
              <w:ind w:left="720"/>
              <w:rPr>
                <w:lang w:val="en-GB"/>
              </w:rPr>
            </w:pPr>
            <w:r w:rsidRPr="00E665F7">
              <w:rPr>
                <w:lang w:val="en-GB"/>
              </w:rPr>
              <w:t>Accrued Expenses</w:t>
            </w:r>
          </w:p>
        </w:tc>
        <w:tc>
          <w:tcPr>
            <w:tcW w:w="0" w:type="auto"/>
            <w:vAlign w:val="center"/>
            <w:hideMark/>
          </w:tcPr>
          <w:p w14:paraId="509E3A41" w14:textId="77777777" w:rsidR="00E665F7" w:rsidRPr="00E665F7" w:rsidRDefault="00E665F7" w:rsidP="00E665F7">
            <w:pPr>
              <w:spacing w:after="200" w:line="276" w:lineRule="auto"/>
              <w:ind w:left="720"/>
              <w:rPr>
                <w:lang w:val="en-GB"/>
              </w:rPr>
            </w:pPr>
            <w:r w:rsidRPr="00E665F7">
              <w:rPr>
                <w:lang w:val="en-GB"/>
              </w:rPr>
              <w:t>$100,000</w:t>
            </w:r>
          </w:p>
        </w:tc>
      </w:tr>
      <w:tr w:rsidR="00E665F7" w:rsidRPr="00E665F7" w14:paraId="0EB78B36" w14:textId="77777777" w:rsidTr="00E665F7">
        <w:trPr>
          <w:tblCellSpacing w:w="15" w:type="dxa"/>
        </w:trPr>
        <w:tc>
          <w:tcPr>
            <w:tcW w:w="0" w:type="auto"/>
            <w:vAlign w:val="center"/>
            <w:hideMark/>
          </w:tcPr>
          <w:p w14:paraId="2FD0588E" w14:textId="77777777" w:rsidR="00E665F7" w:rsidRPr="00E665F7" w:rsidRDefault="00E665F7" w:rsidP="00E665F7">
            <w:pPr>
              <w:spacing w:after="200" w:line="276" w:lineRule="auto"/>
              <w:ind w:left="720"/>
              <w:rPr>
                <w:lang w:val="en-GB"/>
              </w:rPr>
            </w:pPr>
            <w:r w:rsidRPr="00E665F7">
              <w:rPr>
                <w:lang w:val="en-GB"/>
              </w:rPr>
              <w:t>Inventory (if applicable)</w:t>
            </w:r>
          </w:p>
        </w:tc>
        <w:tc>
          <w:tcPr>
            <w:tcW w:w="0" w:type="auto"/>
            <w:vAlign w:val="center"/>
            <w:hideMark/>
          </w:tcPr>
          <w:p w14:paraId="66E210BB" w14:textId="77777777" w:rsidR="00E665F7" w:rsidRPr="00E665F7" w:rsidRDefault="00E665F7" w:rsidP="00E665F7">
            <w:pPr>
              <w:spacing w:after="200" w:line="276" w:lineRule="auto"/>
              <w:ind w:left="720"/>
              <w:rPr>
                <w:lang w:val="en-GB"/>
              </w:rPr>
            </w:pPr>
            <w:r w:rsidRPr="00E665F7">
              <w:rPr>
                <w:lang w:val="en-GB"/>
              </w:rPr>
              <w:t>$0</w:t>
            </w:r>
          </w:p>
        </w:tc>
        <w:tc>
          <w:tcPr>
            <w:tcW w:w="0" w:type="auto"/>
            <w:vAlign w:val="center"/>
            <w:hideMark/>
          </w:tcPr>
          <w:p w14:paraId="09A8CB46" w14:textId="77777777" w:rsidR="00E665F7" w:rsidRPr="00E665F7" w:rsidRDefault="00E665F7" w:rsidP="00E665F7">
            <w:pPr>
              <w:spacing w:after="200" w:line="276" w:lineRule="auto"/>
              <w:ind w:left="720"/>
              <w:rPr>
                <w:lang w:val="en-GB"/>
              </w:rPr>
            </w:pPr>
            <w:r w:rsidRPr="00E665F7">
              <w:rPr>
                <w:b/>
                <w:bCs/>
                <w:lang w:val="en-GB"/>
              </w:rPr>
              <w:t>Long-term Liabilities</w:t>
            </w:r>
          </w:p>
        </w:tc>
        <w:tc>
          <w:tcPr>
            <w:tcW w:w="0" w:type="auto"/>
            <w:vAlign w:val="center"/>
            <w:hideMark/>
          </w:tcPr>
          <w:p w14:paraId="2B8B0124" w14:textId="77777777" w:rsidR="00E665F7" w:rsidRPr="00E665F7" w:rsidRDefault="00E665F7" w:rsidP="00E665F7">
            <w:pPr>
              <w:spacing w:after="200" w:line="276" w:lineRule="auto"/>
              <w:ind w:left="720"/>
              <w:rPr>
                <w:lang w:val="en-GB"/>
              </w:rPr>
            </w:pPr>
          </w:p>
        </w:tc>
      </w:tr>
      <w:tr w:rsidR="00E665F7" w:rsidRPr="00E665F7" w14:paraId="677D996D" w14:textId="77777777" w:rsidTr="00E665F7">
        <w:trPr>
          <w:tblCellSpacing w:w="15" w:type="dxa"/>
        </w:trPr>
        <w:tc>
          <w:tcPr>
            <w:tcW w:w="0" w:type="auto"/>
            <w:vAlign w:val="center"/>
            <w:hideMark/>
          </w:tcPr>
          <w:p w14:paraId="326454E2" w14:textId="77777777" w:rsidR="00E665F7" w:rsidRPr="00E665F7" w:rsidRDefault="00E665F7" w:rsidP="00E665F7">
            <w:pPr>
              <w:spacing w:after="200" w:line="276" w:lineRule="auto"/>
              <w:ind w:left="720"/>
              <w:rPr>
                <w:lang w:val="en-GB"/>
              </w:rPr>
            </w:pPr>
            <w:r w:rsidRPr="00E665F7">
              <w:rPr>
                <w:lang w:val="en-GB"/>
              </w:rPr>
              <w:t>Prepaid Expenses</w:t>
            </w:r>
          </w:p>
        </w:tc>
        <w:tc>
          <w:tcPr>
            <w:tcW w:w="0" w:type="auto"/>
            <w:vAlign w:val="center"/>
            <w:hideMark/>
          </w:tcPr>
          <w:p w14:paraId="4E1939C4" w14:textId="77777777" w:rsidR="00E665F7" w:rsidRPr="00E665F7" w:rsidRDefault="00E665F7" w:rsidP="00E665F7">
            <w:pPr>
              <w:spacing w:after="200" w:line="276" w:lineRule="auto"/>
              <w:ind w:left="720"/>
              <w:rPr>
                <w:lang w:val="en-GB"/>
              </w:rPr>
            </w:pPr>
            <w:r w:rsidRPr="00E665F7">
              <w:rPr>
                <w:lang w:val="en-GB"/>
              </w:rPr>
              <w:t>$50,000</w:t>
            </w:r>
          </w:p>
        </w:tc>
        <w:tc>
          <w:tcPr>
            <w:tcW w:w="0" w:type="auto"/>
            <w:vAlign w:val="center"/>
            <w:hideMark/>
          </w:tcPr>
          <w:p w14:paraId="38CA01F9" w14:textId="77777777" w:rsidR="00E665F7" w:rsidRPr="00E665F7" w:rsidRDefault="00E665F7" w:rsidP="00E665F7">
            <w:pPr>
              <w:spacing w:after="200" w:line="276" w:lineRule="auto"/>
              <w:ind w:left="720"/>
              <w:rPr>
                <w:lang w:val="en-GB"/>
              </w:rPr>
            </w:pPr>
            <w:r w:rsidRPr="00E665F7">
              <w:rPr>
                <w:lang w:val="en-GB"/>
              </w:rPr>
              <w:t>Notes Payable</w:t>
            </w:r>
          </w:p>
        </w:tc>
        <w:tc>
          <w:tcPr>
            <w:tcW w:w="0" w:type="auto"/>
            <w:vAlign w:val="center"/>
            <w:hideMark/>
          </w:tcPr>
          <w:p w14:paraId="38BA8B45" w14:textId="77777777" w:rsidR="00E665F7" w:rsidRPr="00E665F7" w:rsidRDefault="00E665F7" w:rsidP="00E665F7">
            <w:pPr>
              <w:spacing w:after="200" w:line="276" w:lineRule="auto"/>
              <w:ind w:left="720"/>
              <w:rPr>
                <w:lang w:val="en-GB"/>
              </w:rPr>
            </w:pPr>
            <w:r w:rsidRPr="00E665F7">
              <w:rPr>
                <w:lang w:val="en-GB"/>
              </w:rPr>
              <w:t>$500,000</w:t>
            </w:r>
          </w:p>
        </w:tc>
      </w:tr>
      <w:tr w:rsidR="00E665F7" w:rsidRPr="00E665F7" w14:paraId="19BFC6DB" w14:textId="77777777" w:rsidTr="00E665F7">
        <w:trPr>
          <w:tblCellSpacing w:w="15" w:type="dxa"/>
        </w:trPr>
        <w:tc>
          <w:tcPr>
            <w:tcW w:w="0" w:type="auto"/>
            <w:vAlign w:val="center"/>
            <w:hideMark/>
          </w:tcPr>
          <w:p w14:paraId="5873CFC0" w14:textId="77777777" w:rsidR="00E665F7" w:rsidRPr="00E665F7" w:rsidRDefault="00E665F7" w:rsidP="00E665F7">
            <w:pPr>
              <w:spacing w:after="200" w:line="276" w:lineRule="auto"/>
              <w:ind w:left="720"/>
              <w:rPr>
                <w:lang w:val="en-GB"/>
              </w:rPr>
            </w:pPr>
            <w:r w:rsidRPr="00E665F7">
              <w:rPr>
                <w:b/>
                <w:bCs/>
                <w:lang w:val="en-GB"/>
              </w:rPr>
              <w:t>Total Current Assets</w:t>
            </w:r>
          </w:p>
        </w:tc>
        <w:tc>
          <w:tcPr>
            <w:tcW w:w="0" w:type="auto"/>
            <w:vAlign w:val="center"/>
            <w:hideMark/>
          </w:tcPr>
          <w:p w14:paraId="6DF5DAD4" w14:textId="77777777" w:rsidR="00E665F7" w:rsidRPr="00E665F7" w:rsidRDefault="00E665F7" w:rsidP="00E665F7">
            <w:pPr>
              <w:spacing w:after="200" w:line="276" w:lineRule="auto"/>
              <w:ind w:left="720"/>
              <w:rPr>
                <w:lang w:val="en-GB"/>
              </w:rPr>
            </w:pPr>
            <w:r w:rsidRPr="00E665F7">
              <w:rPr>
                <w:b/>
                <w:bCs/>
                <w:lang w:val="en-GB"/>
              </w:rPr>
              <w:t>$1,550,000</w:t>
            </w:r>
          </w:p>
        </w:tc>
        <w:tc>
          <w:tcPr>
            <w:tcW w:w="0" w:type="auto"/>
            <w:vAlign w:val="center"/>
            <w:hideMark/>
          </w:tcPr>
          <w:p w14:paraId="0BD8EE4E" w14:textId="77777777" w:rsidR="00E665F7" w:rsidRPr="00E665F7" w:rsidRDefault="00E665F7" w:rsidP="00E665F7">
            <w:pPr>
              <w:spacing w:after="200" w:line="276" w:lineRule="auto"/>
              <w:ind w:left="720"/>
              <w:rPr>
                <w:lang w:val="en-GB"/>
              </w:rPr>
            </w:pPr>
            <w:r w:rsidRPr="00E665F7">
              <w:rPr>
                <w:b/>
                <w:bCs/>
                <w:lang w:val="en-GB"/>
              </w:rPr>
              <w:t>Total Current Liabilities</w:t>
            </w:r>
          </w:p>
        </w:tc>
        <w:tc>
          <w:tcPr>
            <w:tcW w:w="0" w:type="auto"/>
            <w:vAlign w:val="center"/>
            <w:hideMark/>
          </w:tcPr>
          <w:p w14:paraId="1C3AE068" w14:textId="77777777" w:rsidR="00E665F7" w:rsidRPr="00E665F7" w:rsidRDefault="00E665F7" w:rsidP="00E665F7">
            <w:pPr>
              <w:spacing w:after="200" w:line="276" w:lineRule="auto"/>
              <w:ind w:left="720"/>
              <w:rPr>
                <w:lang w:val="en-GB"/>
              </w:rPr>
            </w:pPr>
            <w:r w:rsidRPr="00E665F7">
              <w:rPr>
                <w:b/>
                <w:bCs/>
                <w:lang w:val="en-GB"/>
              </w:rPr>
              <w:t>$800,000</w:t>
            </w:r>
          </w:p>
        </w:tc>
      </w:tr>
      <w:tr w:rsidR="00E665F7" w:rsidRPr="00E665F7" w14:paraId="76BD5B26" w14:textId="77777777" w:rsidTr="00E665F7">
        <w:trPr>
          <w:tblCellSpacing w:w="15" w:type="dxa"/>
        </w:trPr>
        <w:tc>
          <w:tcPr>
            <w:tcW w:w="0" w:type="auto"/>
            <w:vAlign w:val="center"/>
            <w:hideMark/>
          </w:tcPr>
          <w:p w14:paraId="6D3C8790" w14:textId="77777777" w:rsidR="00E665F7" w:rsidRPr="00E665F7" w:rsidRDefault="00E665F7" w:rsidP="00E665F7">
            <w:pPr>
              <w:spacing w:after="200" w:line="276" w:lineRule="auto"/>
              <w:ind w:left="720"/>
              <w:rPr>
                <w:lang w:val="en-GB"/>
              </w:rPr>
            </w:pPr>
            <w:r w:rsidRPr="00E665F7">
              <w:rPr>
                <w:b/>
                <w:bCs/>
                <w:lang w:val="en-GB"/>
              </w:rPr>
              <w:t>Non-Current Assets</w:t>
            </w:r>
          </w:p>
        </w:tc>
        <w:tc>
          <w:tcPr>
            <w:tcW w:w="0" w:type="auto"/>
            <w:vAlign w:val="center"/>
            <w:hideMark/>
          </w:tcPr>
          <w:p w14:paraId="46298E82" w14:textId="77777777" w:rsidR="00E665F7" w:rsidRPr="00E665F7" w:rsidRDefault="00E665F7" w:rsidP="00E665F7">
            <w:pPr>
              <w:spacing w:after="200" w:line="276" w:lineRule="auto"/>
              <w:ind w:left="720"/>
              <w:rPr>
                <w:lang w:val="en-GB"/>
              </w:rPr>
            </w:pPr>
          </w:p>
        </w:tc>
        <w:tc>
          <w:tcPr>
            <w:tcW w:w="0" w:type="auto"/>
            <w:vAlign w:val="center"/>
            <w:hideMark/>
          </w:tcPr>
          <w:p w14:paraId="434CD9FB" w14:textId="77777777" w:rsidR="00E665F7" w:rsidRPr="00E665F7" w:rsidRDefault="00E665F7" w:rsidP="00E665F7">
            <w:pPr>
              <w:spacing w:after="200" w:line="276" w:lineRule="auto"/>
              <w:ind w:left="720"/>
              <w:rPr>
                <w:lang w:val="en-GB"/>
              </w:rPr>
            </w:pPr>
            <w:r w:rsidRPr="00E665F7">
              <w:rPr>
                <w:b/>
                <w:bCs/>
                <w:lang w:val="en-GB"/>
              </w:rPr>
              <w:t>Shareholder's Equity</w:t>
            </w:r>
          </w:p>
        </w:tc>
        <w:tc>
          <w:tcPr>
            <w:tcW w:w="0" w:type="auto"/>
            <w:vAlign w:val="center"/>
            <w:hideMark/>
          </w:tcPr>
          <w:p w14:paraId="76535A55" w14:textId="77777777" w:rsidR="00E665F7" w:rsidRPr="00E665F7" w:rsidRDefault="00E665F7" w:rsidP="00E665F7">
            <w:pPr>
              <w:spacing w:after="200" w:line="276" w:lineRule="auto"/>
              <w:ind w:left="720"/>
              <w:rPr>
                <w:lang w:val="en-GB"/>
              </w:rPr>
            </w:pPr>
          </w:p>
        </w:tc>
      </w:tr>
      <w:tr w:rsidR="00E665F7" w:rsidRPr="00E665F7" w14:paraId="0D40D9E8" w14:textId="77777777" w:rsidTr="00E665F7">
        <w:trPr>
          <w:tblCellSpacing w:w="15" w:type="dxa"/>
        </w:trPr>
        <w:tc>
          <w:tcPr>
            <w:tcW w:w="0" w:type="auto"/>
            <w:vAlign w:val="center"/>
            <w:hideMark/>
          </w:tcPr>
          <w:p w14:paraId="595EACC6" w14:textId="77777777" w:rsidR="00E665F7" w:rsidRPr="00E665F7" w:rsidRDefault="00E665F7" w:rsidP="00E665F7">
            <w:pPr>
              <w:spacing w:after="200" w:line="276" w:lineRule="auto"/>
              <w:ind w:left="720"/>
              <w:rPr>
                <w:lang w:val="en-GB"/>
              </w:rPr>
            </w:pPr>
            <w:r w:rsidRPr="00E665F7">
              <w:rPr>
                <w:lang w:val="en-GB"/>
              </w:rPr>
              <w:lastRenderedPageBreak/>
              <w:t>Property, Plant, and Equipment (PP&amp;E)</w:t>
            </w:r>
          </w:p>
        </w:tc>
        <w:tc>
          <w:tcPr>
            <w:tcW w:w="0" w:type="auto"/>
            <w:vAlign w:val="center"/>
            <w:hideMark/>
          </w:tcPr>
          <w:p w14:paraId="20171E65" w14:textId="77777777" w:rsidR="00E665F7" w:rsidRPr="00E665F7" w:rsidRDefault="00E665F7" w:rsidP="00E665F7">
            <w:pPr>
              <w:spacing w:after="200" w:line="276" w:lineRule="auto"/>
              <w:ind w:left="720"/>
              <w:rPr>
                <w:lang w:val="en-GB"/>
              </w:rPr>
            </w:pPr>
            <w:r w:rsidRPr="00E665F7">
              <w:rPr>
                <w:lang w:val="en-GB"/>
              </w:rPr>
              <w:t>$500,000</w:t>
            </w:r>
          </w:p>
        </w:tc>
        <w:tc>
          <w:tcPr>
            <w:tcW w:w="0" w:type="auto"/>
            <w:vAlign w:val="center"/>
            <w:hideMark/>
          </w:tcPr>
          <w:p w14:paraId="31F5C2D6" w14:textId="77777777" w:rsidR="00E665F7" w:rsidRPr="00E665F7" w:rsidRDefault="00E665F7" w:rsidP="00E665F7">
            <w:pPr>
              <w:spacing w:after="200" w:line="276" w:lineRule="auto"/>
              <w:ind w:left="720"/>
              <w:rPr>
                <w:lang w:val="en-GB"/>
              </w:rPr>
            </w:pPr>
            <w:r w:rsidRPr="00E665F7">
              <w:rPr>
                <w:lang w:val="en-GB"/>
              </w:rPr>
              <w:t>Common Stock</w:t>
            </w:r>
          </w:p>
        </w:tc>
        <w:tc>
          <w:tcPr>
            <w:tcW w:w="0" w:type="auto"/>
            <w:vAlign w:val="center"/>
            <w:hideMark/>
          </w:tcPr>
          <w:p w14:paraId="3C4063C9" w14:textId="77777777" w:rsidR="00E665F7" w:rsidRPr="00E665F7" w:rsidRDefault="00E665F7" w:rsidP="00E665F7">
            <w:pPr>
              <w:spacing w:after="200" w:line="276" w:lineRule="auto"/>
              <w:ind w:left="720"/>
              <w:rPr>
                <w:lang w:val="en-GB"/>
              </w:rPr>
            </w:pPr>
            <w:r w:rsidRPr="00E665F7">
              <w:rPr>
                <w:lang w:val="en-GB"/>
              </w:rPr>
              <w:t>$1,000,000</w:t>
            </w:r>
          </w:p>
        </w:tc>
      </w:tr>
      <w:tr w:rsidR="00E665F7" w:rsidRPr="00E665F7" w14:paraId="591D0017" w14:textId="77777777" w:rsidTr="00E665F7">
        <w:trPr>
          <w:tblCellSpacing w:w="15" w:type="dxa"/>
        </w:trPr>
        <w:tc>
          <w:tcPr>
            <w:tcW w:w="0" w:type="auto"/>
            <w:vAlign w:val="center"/>
            <w:hideMark/>
          </w:tcPr>
          <w:p w14:paraId="0BF4627D" w14:textId="77777777" w:rsidR="00E665F7" w:rsidRPr="00E665F7" w:rsidRDefault="00E665F7" w:rsidP="00E665F7">
            <w:pPr>
              <w:spacing w:after="200" w:line="276" w:lineRule="auto"/>
              <w:ind w:left="720"/>
              <w:rPr>
                <w:lang w:val="en-GB"/>
              </w:rPr>
            </w:pPr>
            <w:r w:rsidRPr="00E665F7">
              <w:rPr>
                <w:lang w:val="en-GB"/>
              </w:rPr>
              <w:t>Intangible Assets (Patents, Trademarks)</w:t>
            </w:r>
          </w:p>
        </w:tc>
        <w:tc>
          <w:tcPr>
            <w:tcW w:w="0" w:type="auto"/>
            <w:vAlign w:val="center"/>
            <w:hideMark/>
          </w:tcPr>
          <w:p w14:paraId="39731AA5" w14:textId="77777777" w:rsidR="00E665F7" w:rsidRPr="00E665F7" w:rsidRDefault="00E665F7" w:rsidP="00E665F7">
            <w:pPr>
              <w:spacing w:after="200" w:line="276" w:lineRule="auto"/>
              <w:ind w:left="720"/>
              <w:rPr>
                <w:lang w:val="en-GB"/>
              </w:rPr>
            </w:pPr>
            <w:r w:rsidRPr="00E665F7">
              <w:rPr>
                <w:lang w:val="en-GB"/>
              </w:rPr>
              <w:t>$200,000</w:t>
            </w:r>
          </w:p>
        </w:tc>
        <w:tc>
          <w:tcPr>
            <w:tcW w:w="0" w:type="auto"/>
            <w:vAlign w:val="center"/>
            <w:hideMark/>
          </w:tcPr>
          <w:p w14:paraId="0FD1FF7D" w14:textId="77777777" w:rsidR="00E665F7" w:rsidRPr="00E665F7" w:rsidRDefault="00E665F7" w:rsidP="00E665F7">
            <w:pPr>
              <w:spacing w:after="200" w:line="276" w:lineRule="auto"/>
              <w:ind w:left="720"/>
              <w:rPr>
                <w:lang w:val="en-GB"/>
              </w:rPr>
            </w:pPr>
            <w:r w:rsidRPr="00E665F7">
              <w:rPr>
                <w:lang w:val="en-GB"/>
              </w:rPr>
              <w:t>Retained Earnings</w:t>
            </w:r>
          </w:p>
        </w:tc>
        <w:tc>
          <w:tcPr>
            <w:tcW w:w="0" w:type="auto"/>
            <w:vAlign w:val="center"/>
            <w:hideMark/>
          </w:tcPr>
          <w:p w14:paraId="06432632" w14:textId="77777777" w:rsidR="00E665F7" w:rsidRPr="00E665F7" w:rsidRDefault="00E665F7" w:rsidP="00E665F7">
            <w:pPr>
              <w:spacing w:after="200" w:line="276" w:lineRule="auto"/>
              <w:ind w:left="720"/>
              <w:rPr>
                <w:lang w:val="en-GB"/>
              </w:rPr>
            </w:pPr>
            <w:r w:rsidRPr="00E665F7">
              <w:rPr>
                <w:lang w:val="en-GB"/>
              </w:rPr>
              <w:t>$250,000</w:t>
            </w:r>
          </w:p>
        </w:tc>
      </w:tr>
      <w:tr w:rsidR="00E665F7" w:rsidRPr="00E665F7" w14:paraId="40CEA146" w14:textId="77777777" w:rsidTr="00E665F7">
        <w:trPr>
          <w:tblCellSpacing w:w="15" w:type="dxa"/>
        </w:trPr>
        <w:tc>
          <w:tcPr>
            <w:tcW w:w="0" w:type="auto"/>
            <w:vAlign w:val="center"/>
            <w:hideMark/>
          </w:tcPr>
          <w:p w14:paraId="48994779" w14:textId="77777777" w:rsidR="00E665F7" w:rsidRPr="00E665F7" w:rsidRDefault="00E665F7" w:rsidP="00E665F7">
            <w:pPr>
              <w:spacing w:after="200" w:line="276" w:lineRule="auto"/>
              <w:ind w:left="720"/>
              <w:rPr>
                <w:lang w:val="en-GB"/>
              </w:rPr>
            </w:pPr>
            <w:r w:rsidRPr="00E665F7">
              <w:rPr>
                <w:b/>
                <w:bCs/>
                <w:lang w:val="en-GB"/>
              </w:rPr>
              <w:t>Total Non-Current Assets</w:t>
            </w:r>
          </w:p>
        </w:tc>
        <w:tc>
          <w:tcPr>
            <w:tcW w:w="0" w:type="auto"/>
            <w:vAlign w:val="center"/>
            <w:hideMark/>
          </w:tcPr>
          <w:p w14:paraId="3B57D3FC" w14:textId="77777777" w:rsidR="00E665F7" w:rsidRPr="00E665F7" w:rsidRDefault="00E665F7" w:rsidP="00E665F7">
            <w:pPr>
              <w:spacing w:after="200" w:line="276" w:lineRule="auto"/>
              <w:ind w:left="720"/>
              <w:rPr>
                <w:lang w:val="en-GB"/>
              </w:rPr>
            </w:pPr>
            <w:r w:rsidRPr="00E665F7">
              <w:rPr>
                <w:b/>
                <w:bCs/>
                <w:lang w:val="en-GB"/>
              </w:rPr>
              <w:t>$700,000</w:t>
            </w:r>
          </w:p>
        </w:tc>
        <w:tc>
          <w:tcPr>
            <w:tcW w:w="0" w:type="auto"/>
            <w:vAlign w:val="center"/>
            <w:hideMark/>
          </w:tcPr>
          <w:p w14:paraId="336C3B05" w14:textId="77777777" w:rsidR="00E665F7" w:rsidRPr="00E665F7" w:rsidRDefault="00E665F7" w:rsidP="00E665F7">
            <w:pPr>
              <w:spacing w:after="200" w:line="276" w:lineRule="auto"/>
              <w:ind w:left="720"/>
              <w:rPr>
                <w:lang w:val="en-GB"/>
              </w:rPr>
            </w:pPr>
            <w:r w:rsidRPr="00E665F7">
              <w:rPr>
                <w:b/>
                <w:bCs/>
                <w:lang w:val="en-GB"/>
              </w:rPr>
              <w:t>Total Shareholder's Equity</w:t>
            </w:r>
          </w:p>
        </w:tc>
        <w:tc>
          <w:tcPr>
            <w:tcW w:w="0" w:type="auto"/>
            <w:vAlign w:val="center"/>
            <w:hideMark/>
          </w:tcPr>
          <w:p w14:paraId="5A210BCD" w14:textId="77777777" w:rsidR="00E665F7" w:rsidRPr="00E665F7" w:rsidRDefault="00E665F7" w:rsidP="00E665F7">
            <w:pPr>
              <w:spacing w:after="200" w:line="276" w:lineRule="auto"/>
              <w:ind w:left="720"/>
              <w:rPr>
                <w:lang w:val="en-GB"/>
              </w:rPr>
            </w:pPr>
            <w:r w:rsidRPr="00E665F7">
              <w:rPr>
                <w:b/>
                <w:bCs/>
                <w:lang w:val="en-GB"/>
              </w:rPr>
              <w:t>$1,250,000</w:t>
            </w:r>
          </w:p>
        </w:tc>
      </w:tr>
      <w:tr w:rsidR="00E665F7" w:rsidRPr="00E665F7" w14:paraId="60C7C702" w14:textId="77777777" w:rsidTr="00E665F7">
        <w:trPr>
          <w:tblCellSpacing w:w="15" w:type="dxa"/>
        </w:trPr>
        <w:tc>
          <w:tcPr>
            <w:tcW w:w="0" w:type="auto"/>
            <w:vAlign w:val="center"/>
            <w:hideMark/>
          </w:tcPr>
          <w:p w14:paraId="520DC030" w14:textId="77777777" w:rsidR="00E665F7" w:rsidRPr="00E665F7" w:rsidRDefault="00E665F7" w:rsidP="00E665F7">
            <w:pPr>
              <w:spacing w:after="200" w:line="276" w:lineRule="auto"/>
              <w:ind w:left="720"/>
              <w:rPr>
                <w:lang w:val="en-GB"/>
              </w:rPr>
            </w:pPr>
            <w:r w:rsidRPr="00E665F7">
              <w:rPr>
                <w:b/>
                <w:bCs/>
                <w:lang w:val="en-GB"/>
              </w:rPr>
              <w:t>Total Assets</w:t>
            </w:r>
          </w:p>
        </w:tc>
        <w:tc>
          <w:tcPr>
            <w:tcW w:w="0" w:type="auto"/>
            <w:vAlign w:val="center"/>
            <w:hideMark/>
          </w:tcPr>
          <w:p w14:paraId="7492CF65" w14:textId="77777777" w:rsidR="00E665F7" w:rsidRPr="00E665F7" w:rsidRDefault="00E665F7" w:rsidP="00E665F7">
            <w:pPr>
              <w:spacing w:after="200" w:line="276" w:lineRule="auto"/>
              <w:ind w:left="720"/>
              <w:rPr>
                <w:lang w:val="en-GB"/>
              </w:rPr>
            </w:pPr>
            <w:r w:rsidRPr="00E665F7">
              <w:rPr>
                <w:b/>
                <w:bCs/>
                <w:lang w:val="en-GB"/>
              </w:rPr>
              <w:t>$2,250,000</w:t>
            </w:r>
          </w:p>
        </w:tc>
        <w:tc>
          <w:tcPr>
            <w:tcW w:w="0" w:type="auto"/>
            <w:vAlign w:val="center"/>
            <w:hideMark/>
          </w:tcPr>
          <w:p w14:paraId="3F2B4D5A" w14:textId="77777777" w:rsidR="00E665F7" w:rsidRPr="00E665F7" w:rsidRDefault="00E665F7" w:rsidP="00E665F7">
            <w:pPr>
              <w:spacing w:after="200" w:line="276" w:lineRule="auto"/>
              <w:ind w:left="720"/>
              <w:rPr>
                <w:lang w:val="en-GB"/>
              </w:rPr>
            </w:pPr>
            <w:r w:rsidRPr="00E665F7">
              <w:rPr>
                <w:b/>
                <w:bCs/>
                <w:lang w:val="en-GB"/>
              </w:rPr>
              <w:t>Total Liabilities and Shareholder's Equity</w:t>
            </w:r>
          </w:p>
        </w:tc>
        <w:tc>
          <w:tcPr>
            <w:tcW w:w="0" w:type="auto"/>
            <w:vAlign w:val="center"/>
            <w:hideMark/>
          </w:tcPr>
          <w:p w14:paraId="7B4352AE" w14:textId="77777777" w:rsidR="00E665F7" w:rsidRPr="00E665F7" w:rsidRDefault="00E665F7" w:rsidP="00E665F7">
            <w:pPr>
              <w:spacing w:after="200" w:line="276" w:lineRule="auto"/>
              <w:ind w:left="720"/>
              <w:rPr>
                <w:lang w:val="en-GB"/>
              </w:rPr>
            </w:pPr>
            <w:r w:rsidRPr="00E665F7">
              <w:rPr>
                <w:b/>
                <w:bCs/>
                <w:lang w:val="en-GB"/>
              </w:rPr>
              <w:t>$2,250,000</w:t>
            </w:r>
          </w:p>
        </w:tc>
      </w:tr>
    </w:tbl>
    <w:p w14:paraId="340B3729" w14:textId="77777777" w:rsidR="00E665F7" w:rsidRDefault="00E665F7" w:rsidP="00E665F7">
      <w:pPr>
        <w:spacing w:after="200" w:line="276" w:lineRule="auto"/>
        <w:ind w:left="720"/>
        <w:rPr>
          <w:lang w:val="en-GB"/>
        </w:rPr>
      </w:pPr>
    </w:p>
    <w:p w14:paraId="5910F9CA" w14:textId="40811B90" w:rsidR="00E665F7" w:rsidRPr="00E665F7" w:rsidRDefault="00E665F7" w:rsidP="00E665F7">
      <w:pPr>
        <w:spacing w:after="200" w:line="276" w:lineRule="auto"/>
        <w:ind w:left="720"/>
        <w:rPr>
          <w:lang w:val="en-GB"/>
        </w:rPr>
      </w:pPr>
      <w:r w:rsidRPr="00E665F7">
        <w:rPr>
          <w:b/>
          <w:bCs/>
          <w:lang w:val="en-GB"/>
        </w:rPr>
        <w:t>Key Insights from the Balance Sheet:</w:t>
      </w:r>
    </w:p>
    <w:p w14:paraId="7B4BB231" w14:textId="77777777" w:rsidR="00E665F7" w:rsidRPr="00E665F7" w:rsidRDefault="00E665F7" w:rsidP="00E665F7">
      <w:pPr>
        <w:numPr>
          <w:ilvl w:val="0"/>
          <w:numId w:val="45"/>
        </w:numPr>
        <w:spacing w:after="200" w:line="276" w:lineRule="auto"/>
        <w:rPr>
          <w:lang w:val="en-GB"/>
        </w:rPr>
      </w:pPr>
      <w:r w:rsidRPr="00E665F7">
        <w:rPr>
          <w:b/>
          <w:bCs/>
          <w:lang w:val="en-GB"/>
        </w:rPr>
        <w:t>Cash and Cash Equivalents:</w:t>
      </w:r>
      <w:r w:rsidRPr="00E665F7">
        <w:rPr>
          <w:lang w:val="en-GB"/>
        </w:rPr>
        <w:t xml:space="preserve"> A significant portion of funds is allocated to maintain liquidity and cover operational expenses.</w:t>
      </w:r>
    </w:p>
    <w:p w14:paraId="21FFECA7" w14:textId="77777777" w:rsidR="00E665F7" w:rsidRPr="00E665F7" w:rsidRDefault="00E665F7" w:rsidP="00E665F7">
      <w:pPr>
        <w:numPr>
          <w:ilvl w:val="0"/>
          <w:numId w:val="45"/>
        </w:numPr>
        <w:spacing w:after="200" w:line="276" w:lineRule="auto"/>
        <w:rPr>
          <w:lang w:val="en-GB"/>
        </w:rPr>
      </w:pPr>
      <w:r w:rsidRPr="00E665F7">
        <w:rPr>
          <w:b/>
          <w:bCs/>
          <w:lang w:val="en-GB"/>
        </w:rPr>
        <w:t>Accounts Receivable:</w:t>
      </w:r>
      <w:r w:rsidRPr="00E665F7">
        <w:rPr>
          <w:lang w:val="en-GB"/>
        </w:rPr>
        <w:t xml:space="preserve"> The company has a substantial amount of money owed by customers, indicating strong sales and revenue generation.</w:t>
      </w:r>
    </w:p>
    <w:p w14:paraId="7226770A" w14:textId="77777777" w:rsidR="00E665F7" w:rsidRPr="00E665F7" w:rsidRDefault="00E665F7" w:rsidP="00E665F7">
      <w:pPr>
        <w:numPr>
          <w:ilvl w:val="0"/>
          <w:numId w:val="45"/>
        </w:numPr>
        <w:spacing w:after="200" w:line="276" w:lineRule="auto"/>
        <w:rPr>
          <w:lang w:val="en-GB"/>
        </w:rPr>
      </w:pPr>
      <w:r w:rsidRPr="00E665F7">
        <w:rPr>
          <w:b/>
          <w:bCs/>
          <w:lang w:val="en-GB"/>
        </w:rPr>
        <w:t>Property, Plant, and Equipment:</w:t>
      </w:r>
      <w:r w:rsidRPr="00E665F7">
        <w:rPr>
          <w:lang w:val="en-GB"/>
        </w:rPr>
        <w:t xml:space="preserve"> Investment in physical assets like office space and equipment.</w:t>
      </w:r>
    </w:p>
    <w:p w14:paraId="48B1B990" w14:textId="77777777" w:rsidR="00E665F7" w:rsidRPr="00E665F7" w:rsidRDefault="00E665F7" w:rsidP="00E665F7">
      <w:pPr>
        <w:numPr>
          <w:ilvl w:val="0"/>
          <w:numId w:val="45"/>
        </w:numPr>
        <w:spacing w:after="200" w:line="276" w:lineRule="auto"/>
        <w:rPr>
          <w:lang w:val="en-GB"/>
        </w:rPr>
      </w:pPr>
      <w:r w:rsidRPr="00E665F7">
        <w:rPr>
          <w:b/>
          <w:bCs/>
          <w:lang w:val="en-GB"/>
        </w:rPr>
        <w:t>Intangible Assets:</w:t>
      </w:r>
      <w:r w:rsidRPr="00E665F7">
        <w:rPr>
          <w:lang w:val="en-GB"/>
        </w:rPr>
        <w:t xml:space="preserve"> Significant investments in intellectual property, such as patents and trademarks.</w:t>
      </w:r>
    </w:p>
    <w:p w14:paraId="652897C3" w14:textId="77777777" w:rsidR="00E665F7" w:rsidRPr="00E665F7" w:rsidRDefault="00E665F7" w:rsidP="00E665F7">
      <w:pPr>
        <w:numPr>
          <w:ilvl w:val="0"/>
          <w:numId w:val="45"/>
        </w:numPr>
        <w:spacing w:after="200" w:line="276" w:lineRule="auto"/>
        <w:rPr>
          <w:lang w:val="en-GB"/>
        </w:rPr>
      </w:pPr>
      <w:r w:rsidRPr="00E665F7">
        <w:rPr>
          <w:b/>
          <w:bCs/>
          <w:lang w:val="en-GB"/>
        </w:rPr>
        <w:t>Shareholder's Equity:</w:t>
      </w:r>
      <w:r w:rsidRPr="00E665F7">
        <w:rPr>
          <w:lang w:val="en-GB"/>
        </w:rPr>
        <w:t xml:space="preserve"> Represents the owners' stake in the company, including initial investments and retained earnings.</w:t>
      </w:r>
    </w:p>
    <w:p w14:paraId="6152F47F" w14:textId="77777777" w:rsidR="00E665F7" w:rsidRPr="00E665F7" w:rsidRDefault="00E665F7" w:rsidP="00E665F7">
      <w:pPr>
        <w:numPr>
          <w:ilvl w:val="0"/>
          <w:numId w:val="45"/>
        </w:numPr>
        <w:spacing w:after="200" w:line="276" w:lineRule="auto"/>
        <w:rPr>
          <w:lang w:val="en-GB"/>
        </w:rPr>
      </w:pPr>
      <w:r w:rsidRPr="00E665F7">
        <w:rPr>
          <w:b/>
          <w:bCs/>
          <w:lang w:val="en-GB"/>
        </w:rPr>
        <w:t>Debt:</w:t>
      </w:r>
      <w:r w:rsidRPr="00E665F7">
        <w:rPr>
          <w:lang w:val="en-GB"/>
        </w:rPr>
        <w:t xml:space="preserve"> The company has taken on debt to finance its operations and growth.</w:t>
      </w:r>
    </w:p>
    <w:p w14:paraId="467A921D" w14:textId="77777777" w:rsidR="00E665F7" w:rsidRPr="00E665F7" w:rsidRDefault="00E665F7" w:rsidP="00E665F7">
      <w:pPr>
        <w:spacing w:after="200" w:line="276" w:lineRule="auto"/>
        <w:ind w:left="720"/>
        <w:rPr>
          <w:lang w:val="en-GB"/>
        </w:rPr>
      </w:pPr>
      <w:r w:rsidRPr="00E665F7">
        <w:rPr>
          <w:lang w:val="en-GB"/>
        </w:rPr>
        <w:t>By effectively managing these financial resources, startups can navigate the challenges of each stage and achieve long-term success.</w:t>
      </w:r>
    </w:p>
    <w:p w14:paraId="024DAEBB" w14:textId="77777777" w:rsidR="00E665F7" w:rsidRPr="009D0303" w:rsidRDefault="00E665F7" w:rsidP="00E665F7">
      <w:pPr>
        <w:spacing w:after="200" w:line="276" w:lineRule="auto"/>
        <w:ind w:left="720"/>
        <w:rPr>
          <w:lang w:val="en-GB"/>
        </w:rPr>
      </w:pP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1" w:name="_Toc143445385"/>
      <w:r>
        <w:rPr>
          <w:rFonts w:ascii="Arial" w:hAnsi="Arial" w:cs="Arial"/>
          <w:b/>
          <w:bCs/>
          <w:color w:val="FFB923" w:themeColor="accent4"/>
          <w:sz w:val="28"/>
          <w:szCs w:val="28"/>
        </w:rPr>
        <w:t>TARGETTED V/S ACHIEVED OUTPUT</w:t>
      </w:r>
      <w:bookmarkEnd w:id="11"/>
    </w:p>
    <w:p w14:paraId="2E810FF7" w14:textId="7F906863" w:rsidR="00580308" w:rsidRPr="00ED01C9" w:rsidRDefault="00580308" w:rsidP="00991F49">
      <w:pPr>
        <w:ind w:firstLine="432"/>
        <w:rPr>
          <w:rFonts w:ascii="Arial" w:hAnsi="Arial" w:cs="Arial"/>
          <w:color w:val="595959" w:themeColor="text1" w:themeTint="A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0"/>
        <w:gridCol w:w="2950"/>
        <w:gridCol w:w="1810"/>
      </w:tblGrid>
      <w:tr w:rsidR="00580308" w:rsidRPr="009D0303" w14:paraId="7AE936A7" w14:textId="77777777" w:rsidTr="00EF7C09">
        <w:trPr>
          <w:tblCellSpacing w:w="15" w:type="dxa"/>
        </w:trPr>
        <w:tc>
          <w:tcPr>
            <w:tcW w:w="0" w:type="auto"/>
            <w:vAlign w:val="center"/>
            <w:hideMark/>
          </w:tcPr>
          <w:p w14:paraId="284E3021" w14:textId="77777777" w:rsidR="00580308" w:rsidRPr="009D0303" w:rsidRDefault="00580308" w:rsidP="00EF7C09">
            <w:pPr>
              <w:spacing w:after="200" w:line="276" w:lineRule="auto"/>
              <w:rPr>
                <w:b/>
                <w:bCs/>
                <w:lang w:val="en-GB"/>
              </w:rPr>
            </w:pPr>
            <w:r w:rsidRPr="009D0303">
              <w:rPr>
                <w:b/>
                <w:bCs/>
                <w:lang w:val="en-GB"/>
              </w:rPr>
              <w:lastRenderedPageBreak/>
              <w:t>Target Output</w:t>
            </w:r>
          </w:p>
        </w:tc>
        <w:tc>
          <w:tcPr>
            <w:tcW w:w="0" w:type="auto"/>
            <w:vAlign w:val="center"/>
            <w:hideMark/>
          </w:tcPr>
          <w:p w14:paraId="5A991AB5" w14:textId="77777777" w:rsidR="00580308" w:rsidRPr="009D0303" w:rsidRDefault="00580308" w:rsidP="00EF7C09">
            <w:pPr>
              <w:spacing w:after="200" w:line="276" w:lineRule="auto"/>
              <w:rPr>
                <w:b/>
                <w:bCs/>
                <w:lang w:val="en-GB"/>
              </w:rPr>
            </w:pPr>
            <w:r w:rsidRPr="009D0303">
              <w:rPr>
                <w:b/>
                <w:bCs/>
                <w:lang w:val="en-GB"/>
              </w:rPr>
              <w:t>Achieved Output</w:t>
            </w:r>
          </w:p>
        </w:tc>
        <w:tc>
          <w:tcPr>
            <w:tcW w:w="0" w:type="auto"/>
            <w:vAlign w:val="center"/>
            <w:hideMark/>
          </w:tcPr>
          <w:p w14:paraId="3EA27EDA" w14:textId="77777777" w:rsidR="00580308" w:rsidRPr="009D0303" w:rsidRDefault="00580308" w:rsidP="00EF7C09">
            <w:pPr>
              <w:spacing w:after="200" w:line="276" w:lineRule="auto"/>
              <w:rPr>
                <w:b/>
                <w:bCs/>
                <w:lang w:val="en-GB"/>
              </w:rPr>
            </w:pPr>
            <w:r w:rsidRPr="009D0303">
              <w:rPr>
                <w:b/>
                <w:bCs/>
                <w:lang w:val="en-GB"/>
              </w:rPr>
              <w:t>Reason for Deviation</w:t>
            </w:r>
          </w:p>
        </w:tc>
      </w:tr>
      <w:tr w:rsidR="00580308" w:rsidRPr="009D0303" w14:paraId="65432F75" w14:textId="77777777" w:rsidTr="00EF7C09">
        <w:trPr>
          <w:tblCellSpacing w:w="15" w:type="dxa"/>
        </w:trPr>
        <w:tc>
          <w:tcPr>
            <w:tcW w:w="0" w:type="auto"/>
            <w:vAlign w:val="center"/>
            <w:hideMark/>
          </w:tcPr>
          <w:p w14:paraId="5FE28D1E" w14:textId="77777777" w:rsidR="00580308" w:rsidRPr="009D0303" w:rsidRDefault="00580308" w:rsidP="00EF7C09">
            <w:pPr>
              <w:spacing w:after="200" w:line="276" w:lineRule="auto"/>
              <w:rPr>
                <w:lang w:val="en-GB"/>
              </w:rPr>
            </w:pPr>
            <w:r w:rsidRPr="009D0303">
              <w:rPr>
                <w:lang w:val="en-GB"/>
              </w:rPr>
              <w:t>Comprehensive literature review</w:t>
            </w:r>
          </w:p>
        </w:tc>
        <w:tc>
          <w:tcPr>
            <w:tcW w:w="0" w:type="auto"/>
            <w:vAlign w:val="center"/>
            <w:hideMark/>
          </w:tcPr>
          <w:p w14:paraId="114C99D5" w14:textId="77777777" w:rsidR="00580308" w:rsidRPr="009D0303" w:rsidRDefault="00580308" w:rsidP="00EF7C09">
            <w:pPr>
              <w:spacing w:after="200" w:line="276" w:lineRule="auto"/>
              <w:rPr>
                <w:lang w:val="en-GB"/>
              </w:rPr>
            </w:pPr>
            <w:r w:rsidRPr="009D0303">
              <w:rPr>
                <w:lang w:val="en-GB"/>
              </w:rPr>
              <w:t>Completed literature review</w:t>
            </w:r>
          </w:p>
        </w:tc>
        <w:tc>
          <w:tcPr>
            <w:tcW w:w="0" w:type="auto"/>
            <w:vAlign w:val="center"/>
            <w:hideMark/>
          </w:tcPr>
          <w:p w14:paraId="42B6435D" w14:textId="77777777" w:rsidR="00580308" w:rsidRPr="009D0303" w:rsidRDefault="00580308" w:rsidP="00EF7C09">
            <w:pPr>
              <w:spacing w:after="200" w:line="276" w:lineRule="auto"/>
              <w:rPr>
                <w:lang w:val="en-GB"/>
              </w:rPr>
            </w:pPr>
            <w:r w:rsidRPr="009D0303">
              <w:rPr>
                <w:lang w:val="en-GB"/>
              </w:rPr>
              <w:t>N/A</w:t>
            </w:r>
          </w:p>
        </w:tc>
      </w:tr>
      <w:tr w:rsidR="00580308" w:rsidRPr="009D0303" w14:paraId="52A8E462" w14:textId="77777777" w:rsidTr="00EF7C09">
        <w:trPr>
          <w:tblCellSpacing w:w="15" w:type="dxa"/>
        </w:trPr>
        <w:tc>
          <w:tcPr>
            <w:tcW w:w="0" w:type="auto"/>
            <w:vAlign w:val="center"/>
            <w:hideMark/>
          </w:tcPr>
          <w:p w14:paraId="5D809230" w14:textId="77777777" w:rsidR="00580308" w:rsidRPr="009D0303" w:rsidRDefault="00580308" w:rsidP="00EF7C09">
            <w:pPr>
              <w:spacing w:after="200" w:line="276" w:lineRule="auto"/>
              <w:rPr>
                <w:lang w:val="en-GB"/>
              </w:rPr>
            </w:pPr>
            <w:r w:rsidRPr="009D0303">
              <w:rPr>
                <w:lang w:val="en-GB"/>
              </w:rPr>
              <w:t>Analysis of 10 case studies</w:t>
            </w:r>
          </w:p>
        </w:tc>
        <w:tc>
          <w:tcPr>
            <w:tcW w:w="0" w:type="auto"/>
            <w:vAlign w:val="center"/>
            <w:hideMark/>
          </w:tcPr>
          <w:p w14:paraId="287530DA" w14:textId="77777777" w:rsidR="00580308" w:rsidRPr="009D0303" w:rsidRDefault="00580308" w:rsidP="00EF7C09">
            <w:pPr>
              <w:spacing w:after="200" w:line="276" w:lineRule="auto"/>
              <w:rPr>
                <w:lang w:val="en-GB"/>
              </w:rPr>
            </w:pPr>
            <w:r w:rsidRPr="009D0303">
              <w:rPr>
                <w:lang w:val="en-GB"/>
              </w:rPr>
              <w:t>Analysis of 5 case studies</w:t>
            </w:r>
          </w:p>
        </w:tc>
        <w:tc>
          <w:tcPr>
            <w:tcW w:w="0" w:type="auto"/>
            <w:vAlign w:val="center"/>
            <w:hideMark/>
          </w:tcPr>
          <w:p w14:paraId="32DFE6E0" w14:textId="77777777" w:rsidR="00580308" w:rsidRPr="009D0303" w:rsidRDefault="00580308" w:rsidP="00EF7C09">
            <w:pPr>
              <w:spacing w:after="200" w:line="276" w:lineRule="auto"/>
              <w:rPr>
                <w:lang w:val="en-GB"/>
              </w:rPr>
            </w:pPr>
            <w:r w:rsidRPr="009D0303">
              <w:rPr>
                <w:lang w:val="en-GB"/>
              </w:rPr>
              <w:t>Time constraints</w:t>
            </w:r>
          </w:p>
        </w:tc>
      </w:tr>
      <w:tr w:rsidR="00580308" w:rsidRPr="009D0303" w14:paraId="50430505" w14:textId="77777777" w:rsidTr="00EF7C09">
        <w:trPr>
          <w:tblCellSpacing w:w="15" w:type="dxa"/>
        </w:trPr>
        <w:tc>
          <w:tcPr>
            <w:tcW w:w="0" w:type="auto"/>
            <w:vAlign w:val="center"/>
            <w:hideMark/>
          </w:tcPr>
          <w:p w14:paraId="344E689B" w14:textId="77777777" w:rsidR="00580308" w:rsidRPr="009D0303" w:rsidRDefault="00580308" w:rsidP="00EF7C09">
            <w:pPr>
              <w:spacing w:after="200" w:line="276" w:lineRule="auto"/>
              <w:rPr>
                <w:lang w:val="en-GB"/>
              </w:rPr>
            </w:pPr>
            <w:r w:rsidRPr="009D0303">
              <w:rPr>
                <w:lang w:val="en-GB"/>
              </w:rPr>
              <w:t>Development of a detailed financial management framework</w:t>
            </w:r>
          </w:p>
        </w:tc>
        <w:tc>
          <w:tcPr>
            <w:tcW w:w="0" w:type="auto"/>
            <w:vAlign w:val="center"/>
            <w:hideMark/>
          </w:tcPr>
          <w:p w14:paraId="3F0FD674" w14:textId="77777777" w:rsidR="00580308" w:rsidRPr="009D0303" w:rsidRDefault="00580308" w:rsidP="00EF7C09">
            <w:pPr>
              <w:spacing w:after="200" w:line="276" w:lineRule="auto"/>
              <w:rPr>
                <w:lang w:val="en-GB"/>
              </w:rPr>
            </w:pPr>
            <w:r w:rsidRPr="009D0303">
              <w:rPr>
                <w:lang w:val="en-GB"/>
              </w:rPr>
              <w:t>Development of a high-level framework</w:t>
            </w:r>
          </w:p>
        </w:tc>
        <w:tc>
          <w:tcPr>
            <w:tcW w:w="0" w:type="auto"/>
            <w:vAlign w:val="center"/>
            <w:hideMark/>
          </w:tcPr>
          <w:p w14:paraId="5DA2F94E" w14:textId="77777777" w:rsidR="00580308" w:rsidRPr="009D0303" w:rsidRDefault="00580308" w:rsidP="00EF7C09">
            <w:pPr>
              <w:spacing w:after="200" w:line="276" w:lineRule="auto"/>
              <w:rPr>
                <w:lang w:val="en-GB"/>
              </w:rPr>
            </w:pPr>
            <w:r w:rsidRPr="009D0303">
              <w:rPr>
                <w:lang w:val="en-GB"/>
              </w:rPr>
              <w:t>Scope limitations</w:t>
            </w:r>
          </w:p>
        </w:tc>
      </w:tr>
    </w:tbl>
    <w:p w14:paraId="7601A555" w14:textId="61FC7E2B" w:rsidR="00991F49" w:rsidRPr="00ED01C9" w:rsidRDefault="00991F49" w:rsidP="00991F49">
      <w:pPr>
        <w:ind w:firstLine="432"/>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2" w:name="_Toc143445386"/>
      <w:r>
        <w:rPr>
          <w:rFonts w:ascii="Arial" w:hAnsi="Arial" w:cs="Arial"/>
          <w:b/>
          <w:bCs/>
          <w:color w:val="FFB923" w:themeColor="accent4"/>
          <w:sz w:val="28"/>
          <w:szCs w:val="28"/>
        </w:rPr>
        <w:t>CONCLUSION</w:t>
      </w:r>
      <w:bookmarkEnd w:id="12"/>
    </w:p>
    <w:p w14:paraId="4A9120BB" w14:textId="493998F9" w:rsidR="00991F49" w:rsidRPr="008659E6" w:rsidRDefault="00580308" w:rsidP="008659E6">
      <w:pPr>
        <w:ind w:firstLine="432"/>
        <w:rPr>
          <w:rFonts w:ascii="Arial" w:hAnsi="Arial" w:cs="Arial"/>
          <w:color w:val="595959" w:themeColor="text1" w:themeTint="A6"/>
        </w:rPr>
      </w:pPr>
      <w:r w:rsidRPr="009D0303">
        <w:rPr>
          <w:lang w:val="en-GB"/>
        </w:rPr>
        <w:t>This project has highlighted the importance of effective financial management in startups. By understanding the unique financial challenges at each stage, startups can make informed decisions, optimize resource allocation, and increase their chances of success. Future research can explore the impact of emerging technologies and industry trends on startup finance.</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3" w:name="_Toc143445387"/>
      <w:r>
        <w:rPr>
          <w:rFonts w:ascii="Arial" w:hAnsi="Arial" w:cs="Arial"/>
          <w:b/>
          <w:bCs/>
          <w:color w:val="FFB923" w:themeColor="accent4"/>
          <w:sz w:val="28"/>
          <w:szCs w:val="28"/>
        </w:rPr>
        <w:t>APPENDICES</w:t>
      </w:r>
      <w:bookmarkEnd w:id="13"/>
    </w:p>
    <w:p w14:paraId="1C5E6090" w14:textId="1AD537C4" w:rsidR="0007654E" w:rsidRPr="00373485" w:rsidRDefault="0007654E" w:rsidP="00AD08D0">
      <w:pPr>
        <w:pStyle w:val="Heading2"/>
        <w:rPr>
          <w:rFonts w:ascii="Arial" w:hAnsi="Arial" w:cs="Arial"/>
        </w:rPr>
      </w:pPr>
      <w:bookmarkStart w:id="14" w:name="_Ref142377092"/>
      <w:bookmarkStart w:id="15" w:name="_Toc143445388"/>
      <w:r w:rsidRPr="00373485">
        <w:rPr>
          <w:rFonts w:ascii="Arial" w:eastAsia="Times New Roman" w:hAnsi="Arial" w:cs="Arial"/>
        </w:rPr>
        <w:t xml:space="preserve">Appendix A – </w:t>
      </w:r>
      <w:bookmarkEnd w:id="14"/>
      <w:r w:rsidR="00AD08D0" w:rsidRPr="00373485">
        <w:rPr>
          <w:rFonts w:ascii="Arial" w:eastAsia="Times New Roman" w:hAnsi="Arial" w:cs="Arial"/>
        </w:rPr>
        <w:t>Title</w:t>
      </w:r>
      <w:bookmarkEnd w:id="15"/>
      <w:r w:rsidRPr="00373485">
        <w:rPr>
          <w:rFonts w:ascii="Arial" w:eastAsia="Times New Roman" w:hAnsi="Arial" w:cs="Arial"/>
        </w:rPr>
        <w:br/>
      </w:r>
    </w:p>
    <w:p w14:paraId="64F980BD" w14:textId="77777777" w:rsidR="008659E6" w:rsidRPr="009D0303" w:rsidRDefault="008659E6" w:rsidP="008659E6">
      <w:pPr>
        <w:numPr>
          <w:ilvl w:val="0"/>
          <w:numId w:val="37"/>
        </w:numPr>
        <w:spacing w:after="200" w:line="276" w:lineRule="auto"/>
        <w:rPr>
          <w:lang w:val="en-GB"/>
        </w:rPr>
      </w:pPr>
      <w:r w:rsidRPr="009D0303">
        <w:rPr>
          <w:b/>
          <w:bCs/>
          <w:lang w:val="en-GB"/>
        </w:rPr>
        <w:t>Appendix A: Literature Review Summary</w:t>
      </w:r>
    </w:p>
    <w:p w14:paraId="52CCB231" w14:textId="77777777" w:rsidR="008659E6" w:rsidRPr="009D0303" w:rsidRDefault="008659E6" w:rsidP="008659E6">
      <w:pPr>
        <w:numPr>
          <w:ilvl w:val="0"/>
          <w:numId w:val="37"/>
        </w:numPr>
        <w:spacing w:after="200" w:line="276" w:lineRule="auto"/>
        <w:rPr>
          <w:lang w:val="en-GB"/>
        </w:rPr>
      </w:pPr>
      <w:r w:rsidRPr="009D0303">
        <w:rPr>
          <w:b/>
          <w:bCs/>
          <w:lang w:val="en-GB"/>
        </w:rPr>
        <w:t>Appendix B: Case Study Analysis</w:t>
      </w:r>
    </w:p>
    <w:p w14:paraId="11DCF259" w14:textId="77777777" w:rsidR="008659E6" w:rsidRPr="009D0303" w:rsidRDefault="008659E6" w:rsidP="008659E6">
      <w:pPr>
        <w:numPr>
          <w:ilvl w:val="0"/>
          <w:numId w:val="37"/>
        </w:numPr>
        <w:spacing w:after="200" w:line="276" w:lineRule="auto"/>
        <w:rPr>
          <w:lang w:val="en-GB"/>
        </w:rPr>
      </w:pPr>
      <w:r w:rsidRPr="009D0303">
        <w:rPr>
          <w:b/>
          <w:bCs/>
          <w:lang w:val="en-GB"/>
        </w:rPr>
        <w:t>Appendix C: Financial Management Framework</w:t>
      </w:r>
    </w:p>
    <w:p w14:paraId="436992D6" w14:textId="370564D1"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73D96" w14:textId="77777777" w:rsidR="006A4234" w:rsidRDefault="006A4234" w:rsidP="008F7E07">
      <w:r>
        <w:separator/>
      </w:r>
    </w:p>
  </w:endnote>
  <w:endnote w:type="continuationSeparator" w:id="0">
    <w:p w14:paraId="1E5B03F8" w14:textId="77777777" w:rsidR="006A4234" w:rsidRDefault="006A4234"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BA011" w14:textId="77777777" w:rsidR="006A4234" w:rsidRDefault="006A4234" w:rsidP="008F7E07">
      <w:r>
        <w:separator/>
      </w:r>
    </w:p>
  </w:footnote>
  <w:footnote w:type="continuationSeparator" w:id="0">
    <w:p w14:paraId="509AE846" w14:textId="77777777" w:rsidR="006A4234" w:rsidRDefault="006A4234"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183F"/>
    <w:multiLevelType w:val="multilevel"/>
    <w:tmpl w:val="9E24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FEC117D"/>
    <w:multiLevelType w:val="multilevel"/>
    <w:tmpl w:val="592E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9793A"/>
    <w:multiLevelType w:val="multilevel"/>
    <w:tmpl w:val="034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F00CD"/>
    <w:multiLevelType w:val="multilevel"/>
    <w:tmpl w:val="CEAC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24B56C6A"/>
    <w:multiLevelType w:val="multilevel"/>
    <w:tmpl w:val="D464A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348F224E"/>
    <w:multiLevelType w:val="multilevel"/>
    <w:tmpl w:val="921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16240"/>
    <w:multiLevelType w:val="multilevel"/>
    <w:tmpl w:val="F3361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9A333D"/>
    <w:multiLevelType w:val="multilevel"/>
    <w:tmpl w:val="B24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4702F82"/>
    <w:multiLevelType w:val="multilevel"/>
    <w:tmpl w:val="86FA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626E8"/>
    <w:multiLevelType w:val="multilevel"/>
    <w:tmpl w:val="A77E2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769B1"/>
    <w:multiLevelType w:val="multilevel"/>
    <w:tmpl w:val="127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6C62289B"/>
    <w:multiLevelType w:val="multilevel"/>
    <w:tmpl w:val="F9E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824ED"/>
    <w:multiLevelType w:val="multilevel"/>
    <w:tmpl w:val="A21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50057266">
    <w:abstractNumId w:val="3"/>
  </w:num>
  <w:num w:numId="2" w16cid:durableId="1292320101">
    <w:abstractNumId w:val="33"/>
  </w:num>
  <w:num w:numId="3" w16cid:durableId="1501389845">
    <w:abstractNumId w:val="28"/>
  </w:num>
  <w:num w:numId="4" w16cid:durableId="1180849809">
    <w:abstractNumId w:val="16"/>
  </w:num>
  <w:num w:numId="5" w16cid:durableId="545798192">
    <w:abstractNumId w:val="9"/>
  </w:num>
  <w:num w:numId="6" w16cid:durableId="1502625401">
    <w:abstractNumId w:val="10"/>
  </w:num>
  <w:num w:numId="7" w16cid:durableId="1963268929">
    <w:abstractNumId w:val="6"/>
  </w:num>
  <w:num w:numId="8" w16cid:durableId="175383759">
    <w:abstractNumId w:val="22"/>
  </w:num>
  <w:num w:numId="9" w16cid:durableId="281150424">
    <w:abstractNumId w:val="34"/>
  </w:num>
  <w:num w:numId="10" w16cid:durableId="501825005">
    <w:abstractNumId w:val="13"/>
  </w:num>
  <w:num w:numId="11" w16cid:durableId="1541627668">
    <w:abstractNumId w:val="15"/>
  </w:num>
  <w:num w:numId="12" w16cid:durableId="1665741968">
    <w:abstractNumId w:val="22"/>
  </w:num>
  <w:num w:numId="13" w16cid:durableId="148451309">
    <w:abstractNumId w:val="22"/>
  </w:num>
  <w:num w:numId="14" w16cid:durableId="19477834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593174746">
    <w:abstractNumId w:val="5"/>
  </w:num>
  <w:num w:numId="16" w16cid:durableId="2082211333">
    <w:abstractNumId w:val="20"/>
  </w:num>
  <w:num w:numId="17" w16cid:durableId="1104156984">
    <w:abstractNumId w:val="17"/>
  </w:num>
  <w:num w:numId="18" w16cid:durableId="46609839">
    <w:abstractNumId w:val="25"/>
  </w:num>
  <w:num w:numId="19" w16cid:durableId="1142889838">
    <w:abstractNumId w:val="30"/>
  </w:num>
  <w:num w:numId="20" w16cid:durableId="627319502">
    <w:abstractNumId w:val="22"/>
  </w:num>
  <w:num w:numId="21" w16cid:durableId="1159350692">
    <w:abstractNumId w:val="27"/>
  </w:num>
  <w:num w:numId="22" w16cid:durableId="789009919">
    <w:abstractNumId w:val="22"/>
  </w:num>
  <w:num w:numId="23" w16cid:durableId="1356880528">
    <w:abstractNumId w:val="22"/>
  </w:num>
  <w:num w:numId="24" w16cid:durableId="919095725">
    <w:abstractNumId w:val="29"/>
  </w:num>
  <w:num w:numId="25" w16cid:durableId="2001350829">
    <w:abstractNumId w:val="12"/>
  </w:num>
  <w:num w:numId="26" w16cid:durableId="1022244907">
    <w:abstractNumId w:val="1"/>
  </w:num>
  <w:num w:numId="27" w16cid:durableId="1124077328">
    <w:abstractNumId w:val="22"/>
  </w:num>
  <w:num w:numId="28" w16cid:durableId="1110003835">
    <w:abstractNumId w:val="2"/>
  </w:num>
  <w:num w:numId="29" w16cid:durableId="356734959">
    <w:abstractNumId w:val="22"/>
  </w:num>
  <w:num w:numId="30" w16cid:durableId="2113233240">
    <w:abstractNumId w:val="22"/>
  </w:num>
  <w:num w:numId="31" w16cid:durableId="544877552">
    <w:abstractNumId w:val="22"/>
  </w:num>
  <w:num w:numId="32" w16cid:durableId="1654141062">
    <w:abstractNumId w:val="22"/>
  </w:num>
  <w:num w:numId="33" w16cid:durableId="1948267945">
    <w:abstractNumId w:val="21"/>
  </w:num>
  <w:num w:numId="34" w16cid:durableId="881328332">
    <w:abstractNumId w:val="26"/>
  </w:num>
  <w:num w:numId="35" w16cid:durableId="17391935">
    <w:abstractNumId w:val="18"/>
  </w:num>
  <w:num w:numId="36" w16cid:durableId="1110931018">
    <w:abstractNumId w:val="31"/>
  </w:num>
  <w:num w:numId="37" w16cid:durableId="471993083">
    <w:abstractNumId w:val="32"/>
  </w:num>
  <w:num w:numId="38" w16cid:durableId="143399667">
    <w:abstractNumId w:val="4"/>
  </w:num>
  <w:num w:numId="39" w16cid:durableId="368724257">
    <w:abstractNumId w:val="14"/>
  </w:num>
  <w:num w:numId="40" w16cid:durableId="76829505">
    <w:abstractNumId w:val="24"/>
  </w:num>
  <w:num w:numId="41" w16cid:durableId="541670274">
    <w:abstractNumId w:val="11"/>
  </w:num>
  <w:num w:numId="42" w16cid:durableId="821117087">
    <w:abstractNumId w:val="19"/>
  </w:num>
  <w:num w:numId="43" w16cid:durableId="2011831321">
    <w:abstractNumId w:val="23"/>
  </w:num>
  <w:num w:numId="44" w16cid:durableId="1346206163">
    <w:abstractNumId w:val="7"/>
  </w:num>
  <w:num w:numId="45" w16cid:durableId="2048722892">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04B64"/>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31531"/>
    <w:rsid w:val="00446CF6"/>
    <w:rsid w:val="00461996"/>
    <w:rsid w:val="00473A47"/>
    <w:rsid w:val="00475B3F"/>
    <w:rsid w:val="004777B6"/>
    <w:rsid w:val="0048310F"/>
    <w:rsid w:val="004A22A4"/>
    <w:rsid w:val="004C1311"/>
    <w:rsid w:val="004D40C3"/>
    <w:rsid w:val="004E032A"/>
    <w:rsid w:val="004E4C3F"/>
    <w:rsid w:val="004F792A"/>
    <w:rsid w:val="00503190"/>
    <w:rsid w:val="00516231"/>
    <w:rsid w:val="00530905"/>
    <w:rsid w:val="00547057"/>
    <w:rsid w:val="00547E8E"/>
    <w:rsid w:val="005607EF"/>
    <w:rsid w:val="005675AC"/>
    <w:rsid w:val="00572E09"/>
    <w:rsid w:val="00580308"/>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A4234"/>
    <w:rsid w:val="006C3A01"/>
    <w:rsid w:val="006C468B"/>
    <w:rsid w:val="006D0352"/>
    <w:rsid w:val="006D2B58"/>
    <w:rsid w:val="006F4B7A"/>
    <w:rsid w:val="0070513D"/>
    <w:rsid w:val="0075780E"/>
    <w:rsid w:val="00766B50"/>
    <w:rsid w:val="00767CD9"/>
    <w:rsid w:val="00783EB7"/>
    <w:rsid w:val="0079571B"/>
    <w:rsid w:val="007A2C62"/>
    <w:rsid w:val="007B0139"/>
    <w:rsid w:val="007D2EA8"/>
    <w:rsid w:val="00811576"/>
    <w:rsid w:val="008302AF"/>
    <w:rsid w:val="00845D72"/>
    <w:rsid w:val="00862664"/>
    <w:rsid w:val="008659E6"/>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358EC"/>
    <w:rsid w:val="00C41FE9"/>
    <w:rsid w:val="00C4446C"/>
    <w:rsid w:val="00C46297"/>
    <w:rsid w:val="00C504AE"/>
    <w:rsid w:val="00C65FC7"/>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665F7"/>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398279344">
      <w:bodyDiv w:val="1"/>
      <w:marLeft w:val="0"/>
      <w:marRight w:val="0"/>
      <w:marTop w:val="0"/>
      <w:marBottom w:val="0"/>
      <w:divBdr>
        <w:top w:val="none" w:sz="0" w:space="0" w:color="auto"/>
        <w:left w:val="none" w:sz="0" w:space="0" w:color="auto"/>
        <w:bottom w:val="none" w:sz="0" w:space="0" w:color="auto"/>
        <w:right w:val="none" w:sz="0" w:space="0" w:color="auto"/>
      </w:divBdr>
      <w:divsChild>
        <w:div w:id="1807315064">
          <w:marLeft w:val="0"/>
          <w:marRight w:val="0"/>
          <w:marTop w:val="0"/>
          <w:marBottom w:val="0"/>
          <w:divBdr>
            <w:top w:val="none" w:sz="0" w:space="0" w:color="auto"/>
            <w:left w:val="none" w:sz="0" w:space="0" w:color="auto"/>
            <w:bottom w:val="none" w:sz="0" w:space="0" w:color="auto"/>
            <w:right w:val="none" w:sz="0" w:space="0" w:color="auto"/>
          </w:divBdr>
          <w:divsChild>
            <w:div w:id="945237805">
              <w:marLeft w:val="0"/>
              <w:marRight w:val="0"/>
              <w:marTop w:val="0"/>
              <w:marBottom w:val="0"/>
              <w:divBdr>
                <w:top w:val="none" w:sz="0" w:space="0" w:color="auto"/>
                <w:left w:val="none" w:sz="0" w:space="0" w:color="auto"/>
                <w:bottom w:val="none" w:sz="0" w:space="0" w:color="auto"/>
                <w:right w:val="none" w:sz="0" w:space="0" w:color="auto"/>
              </w:divBdr>
              <w:divsChild>
                <w:div w:id="1425613334">
                  <w:marLeft w:val="0"/>
                  <w:marRight w:val="0"/>
                  <w:marTop w:val="0"/>
                  <w:marBottom w:val="0"/>
                  <w:divBdr>
                    <w:top w:val="none" w:sz="0" w:space="0" w:color="auto"/>
                    <w:left w:val="none" w:sz="0" w:space="0" w:color="auto"/>
                    <w:bottom w:val="none" w:sz="0" w:space="0" w:color="auto"/>
                    <w:right w:val="none" w:sz="0" w:space="0" w:color="auto"/>
                  </w:divBdr>
                  <w:divsChild>
                    <w:div w:id="152185918">
                      <w:marLeft w:val="0"/>
                      <w:marRight w:val="0"/>
                      <w:marTop w:val="0"/>
                      <w:marBottom w:val="0"/>
                      <w:divBdr>
                        <w:top w:val="none" w:sz="0" w:space="0" w:color="auto"/>
                        <w:left w:val="none" w:sz="0" w:space="0" w:color="auto"/>
                        <w:bottom w:val="none" w:sz="0" w:space="0" w:color="auto"/>
                        <w:right w:val="none" w:sz="0" w:space="0" w:color="auto"/>
                      </w:divBdr>
                      <w:divsChild>
                        <w:div w:id="390807744">
                          <w:marLeft w:val="0"/>
                          <w:marRight w:val="0"/>
                          <w:marTop w:val="0"/>
                          <w:marBottom w:val="0"/>
                          <w:divBdr>
                            <w:top w:val="none" w:sz="0" w:space="0" w:color="auto"/>
                            <w:left w:val="none" w:sz="0" w:space="0" w:color="auto"/>
                            <w:bottom w:val="none" w:sz="0" w:space="0" w:color="auto"/>
                            <w:right w:val="none" w:sz="0" w:space="0" w:color="auto"/>
                          </w:divBdr>
                          <w:divsChild>
                            <w:div w:id="142818405">
                              <w:marLeft w:val="0"/>
                              <w:marRight w:val="0"/>
                              <w:marTop w:val="0"/>
                              <w:marBottom w:val="0"/>
                              <w:divBdr>
                                <w:top w:val="none" w:sz="0" w:space="0" w:color="auto"/>
                                <w:left w:val="none" w:sz="0" w:space="0" w:color="auto"/>
                                <w:bottom w:val="none" w:sz="0" w:space="0" w:color="auto"/>
                                <w:right w:val="none" w:sz="0" w:space="0" w:color="auto"/>
                              </w:divBdr>
                              <w:divsChild>
                                <w:div w:id="2027829265">
                                  <w:marLeft w:val="0"/>
                                  <w:marRight w:val="0"/>
                                  <w:marTop w:val="0"/>
                                  <w:marBottom w:val="0"/>
                                  <w:divBdr>
                                    <w:top w:val="none" w:sz="0" w:space="0" w:color="auto"/>
                                    <w:left w:val="none" w:sz="0" w:space="0" w:color="auto"/>
                                    <w:bottom w:val="none" w:sz="0" w:space="0" w:color="auto"/>
                                    <w:right w:val="none" w:sz="0" w:space="0" w:color="auto"/>
                                  </w:divBdr>
                                  <w:divsChild>
                                    <w:div w:id="2040813451">
                                      <w:marLeft w:val="0"/>
                                      <w:marRight w:val="0"/>
                                      <w:marTop w:val="0"/>
                                      <w:marBottom w:val="0"/>
                                      <w:divBdr>
                                        <w:top w:val="none" w:sz="0" w:space="0" w:color="auto"/>
                                        <w:left w:val="none" w:sz="0" w:space="0" w:color="auto"/>
                                        <w:bottom w:val="none" w:sz="0" w:space="0" w:color="auto"/>
                                        <w:right w:val="none" w:sz="0" w:space="0" w:color="auto"/>
                                      </w:divBdr>
                                    </w:div>
                                    <w:div w:id="2735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68392338">
      <w:bodyDiv w:val="1"/>
      <w:marLeft w:val="0"/>
      <w:marRight w:val="0"/>
      <w:marTop w:val="0"/>
      <w:marBottom w:val="0"/>
      <w:divBdr>
        <w:top w:val="none" w:sz="0" w:space="0" w:color="auto"/>
        <w:left w:val="none" w:sz="0" w:space="0" w:color="auto"/>
        <w:bottom w:val="none" w:sz="0" w:space="0" w:color="auto"/>
        <w:right w:val="none" w:sz="0" w:space="0" w:color="auto"/>
      </w:divBdr>
      <w:divsChild>
        <w:div w:id="5137365">
          <w:marLeft w:val="0"/>
          <w:marRight w:val="0"/>
          <w:marTop w:val="0"/>
          <w:marBottom w:val="0"/>
          <w:divBdr>
            <w:top w:val="none" w:sz="0" w:space="0" w:color="auto"/>
            <w:left w:val="none" w:sz="0" w:space="0" w:color="auto"/>
            <w:bottom w:val="none" w:sz="0" w:space="0" w:color="auto"/>
            <w:right w:val="none" w:sz="0" w:space="0" w:color="auto"/>
          </w:divBdr>
          <w:divsChild>
            <w:div w:id="1592742471">
              <w:marLeft w:val="0"/>
              <w:marRight w:val="0"/>
              <w:marTop w:val="0"/>
              <w:marBottom w:val="0"/>
              <w:divBdr>
                <w:top w:val="none" w:sz="0" w:space="0" w:color="auto"/>
                <w:left w:val="none" w:sz="0" w:space="0" w:color="auto"/>
                <w:bottom w:val="none" w:sz="0" w:space="0" w:color="auto"/>
                <w:right w:val="none" w:sz="0" w:space="0" w:color="auto"/>
              </w:divBdr>
              <w:divsChild>
                <w:div w:id="919026471">
                  <w:marLeft w:val="0"/>
                  <w:marRight w:val="0"/>
                  <w:marTop w:val="0"/>
                  <w:marBottom w:val="0"/>
                  <w:divBdr>
                    <w:top w:val="none" w:sz="0" w:space="0" w:color="auto"/>
                    <w:left w:val="none" w:sz="0" w:space="0" w:color="auto"/>
                    <w:bottom w:val="none" w:sz="0" w:space="0" w:color="auto"/>
                    <w:right w:val="none" w:sz="0" w:space="0" w:color="auto"/>
                  </w:divBdr>
                  <w:divsChild>
                    <w:div w:id="1251430230">
                      <w:marLeft w:val="0"/>
                      <w:marRight w:val="0"/>
                      <w:marTop w:val="0"/>
                      <w:marBottom w:val="0"/>
                      <w:divBdr>
                        <w:top w:val="none" w:sz="0" w:space="0" w:color="auto"/>
                        <w:left w:val="none" w:sz="0" w:space="0" w:color="auto"/>
                        <w:bottom w:val="none" w:sz="0" w:space="0" w:color="auto"/>
                        <w:right w:val="none" w:sz="0" w:space="0" w:color="auto"/>
                      </w:divBdr>
                      <w:divsChild>
                        <w:div w:id="533495010">
                          <w:marLeft w:val="0"/>
                          <w:marRight w:val="0"/>
                          <w:marTop w:val="0"/>
                          <w:marBottom w:val="0"/>
                          <w:divBdr>
                            <w:top w:val="none" w:sz="0" w:space="0" w:color="auto"/>
                            <w:left w:val="none" w:sz="0" w:space="0" w:color="auto"/>
                            <w:bottom w:val="none" w:sz="0" w:space="0" w:color="auto"/>
                            <w:right w:val="none" w:sz="0" w:space="0" w:color="auto"/>
                          </w:divBdr>
                          <w:divsChild>
                            <w:div w:id="1085614047">
                              <w:marLeft w:val="0"/>
                              <w:marRight w:val="0"/>
                              <w:marTop w:val="0"/>
                              <w:marBottom w:val="0"/>
                              <w:divBdr>
                                <w:top w:val="none" w:sz="0" w:space="0" w:color="auto"/>
                                <w:left w:val="none" w:sz="0" w:space="0" w:color="auto"/>
                                <w:bottom w:val="none" w:sz="0" w:space="0" w:color="auto"/>
                                <w:right w:val="none" w:sz="0" w:space="0" w:color="auto"/>
                              </w:divBdr>
                              <w:divsChild>
                                <w:div w:id="1470443565">
                                  <w:marLeft w:val="0"/>
                                  <w:marRight w:val="0"/>
                                  <w:marTop w:val="0"/>
                                  <w:marBottom w:val="0"/>
                                  <w:divBdr>
                                    <w:top w:val="none" w:sz="0" w:space="0" w:color="auto"/>
                                    <w:left w:val="none" w:sz="0" w:space="0" w:color="auto"/>
                                    <w:bottom w:val="none" w:sz="0" w:space="0" w:color="auto"/>
                                    <w:right w:val="none" w:sz="0" w:space="0" w:color="auto"/>
                                  </w:divBdr>
                                  <w:divsChild>
                                    <w:div w:id="475881731">
                                      <w:marLeft w:val="0"/>
                                      <w:marRight w:val="0"/>
                                      <w:marTop w:val="0"/>
                                      <w:marBottom w:val="0"/>
                                      <w:divBdr>
                                        <w:top w:val="none" w:sz="0" w:space="0" w:color="auto"/>
                                        <w:left w:val="none" w:sz="0" w:space="0" w:color="auto"/>
                                        <w:bottom w:val="none" w:sz="0" w:space="0" w:color="auto"/>
                                        <w:right w:val="none" w:sz="0" w:space="0" w:color="auto"/>
                                      </w:divBdr>
                                    </w:div>
                                    <w:div w:id="12596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Nikhil .</cp:lastModifiedBy>
  <cp:revision>4</cp:revision>
  <cp:lastPrinted>2022-09-20T16:52:00Z</cp:lastPrinted>
  <dcterms:created xsi:type="dcterms:W3CDTF">2024-10-29T17:08:00Z</dcterms:created>
  <dcterms:modified xsi:type="dcterms:W3CDTF">2024-10-29T17:14:00Z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