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bookmarkStart w:id="0" w:name="_Hlk204091458"/>
      <w:bookmarkEnd w:id="0"/>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6"/>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7519037E" w:rsidR="00E5566E" w:rsidRDefault="000531DD" w:rsidP="000778C6">
      <w:pPr>
        <w:spacing w:line="240" w:lineRule="auto"/>
        <w:rPr>
          <w:i/>
        </w:rPr>
      </w:pPr>
      <w:r>
        <w:rPr>
          <w:noProof/>
        </w:rPr>
        <w:drawing>
          <wp:inline distT="0" distB="0" distL="0" distR="0" wp14:anchorId="5BA7FA66" wp14:editId="563DFE2F">
            <wp:extent cx="3017520" cy="3017520"/>
            <wp:effectExtent l="0" t="0" r="0" b="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17520" cy="3017520"/>
                    </a:xfrm>
                    <a:prstGeom prst="rect">
                      <a:avLst/>
                    </a:prstGeom>
                    <a:ln/>
                  </pic:spPr>
                </pic:pic>
              </a:graphicData>
            </a:graphic>
          </wp:inline>
        </w:drawing>
      </w:r>
      <w:r w:rsidR="00E5566E">
        <w:rPr>
          <w:noProof/>
        </w:rPr>
        <mc:AlternateContent>
          <mc:Choice Requires="wps">
            <w:drawing>
              <wp:anchor distT="114300" distB="114300" distL="114300" distR="114300" simplePos="0" relativeHeight="251665408" behindDoc="0" locked="0" layoutInCell="1" hidden="0" allowOverlap="1" wp14:anchorId="5C2DD96B" wp14:editId="4C6758C0">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sidR="00E5566E">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7520" cy="3017520"/>
                    </a:xfrm>
                    <a:prstGeom prst="rect">
                      <a:avLst/>
                    </a:prstGeom>
                    <a:ln/>
                  </pic:spPr>
                </pic:pic>
              </a:graphicData>
            </a:graphic>
          </wp:anchor>
        </w:drawing>
      </w:r>
    </w:p>
    <w:p w14:paraId="643D301D"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noProof/>
        </w:rPr>
        <mc:AlternateContent>
          <mc:Choice Requires="wps">
            <w:drawing>
              <wp:inline distT="0" distB="0" distL="0" distR="0" wp14:anchorId="5428588B" wp14:editId="2AD9A61D">
                <wp:extent cx="3086100" cy="838200"/>
                <wp:effectExtent l="0" t="0" r="0" b="0"/>
                <wp:docPr id="632339339" name="Text Box 632339339"/>
                <wp:cNvGraphicFramePr/>
                <a:graphic xmlns:a="http://schemas.openxmlformats.org/drawingml/2006/main">
                  <a:graphicData uri="http://schemas.microsoft.com/office/word/2010/wordprocessingShape">
                    <wps:wsp>
                      <wps:cNvSpPr txBox="1"/>
                      <wps:spPr>
                        <a:xfrm>
                          <a:off x="0" y="0"/>
                          <a:ext cx="3086100" cy="838200"/>
                        </a:xfrm>
                        <a:prstGeom prst="rect">
                          <a:avLst/>
                        </a:prstGeom>
                        <a:noFill/>
                        <a:ln>
                          <a:noFill/>
                        </a:ln>
                      </wps:spPr>
                      <wps:txbx>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wps:txbx>
                      <wps:bodyPr spcFirstLastPara="1" wrap="square" lIns="91425" tIns="91425" rIns="91425" bIns="91425" anchor="t" anchorCtr="0">
                        <a:noAutofit/>
                      </wps:bodyPr>
                    </wps:wsp>
                  </a:graphicData>
                </a:graphic>
              </wp:inline>
            </w:drawing>
          </mc:Choice>
          <mc:Fallback>
            <w:pict>
              <v:shape w14:anchorId="5428588B" id="Text Box 632339339" o:spid="_x0000_s1028" type="#_x0000_t202" style="width:243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" filled="f" stroked="f">
                <v:textbox inset="2.53958mm,2.53958mm,2.53958mm,2.53958mm">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v:textbox>
                <w10:anchorlock/>
              </v:shape>
            </w:pict>
          </mc:Fallback>
        </mc:AlternateContent>
      </w:r>
    </w:p>
    <w:p w14:paraId="3379B26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6AFB1A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577BD60" w14:textId="43E015C3"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Perfect Multicollinearity with Including all Variables in Linear Regression</w:t>
      </w:r>
    </w:p>
    <w:p w14:paraId="5DA8BA41" w14:textId="4ECA368D"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run a regression with price as the dependent variable and all other variables as regressors, we will encounter the dummy variable trap, an instance of perfect multicollinearity. This occurs since each vehicle in our dataset must be either a Toyota or a Honda, but not both. Hence, ‘Is Toyota’ and ‘Is Honda' are mutually exclusive. The two dummy variables are perfectly collinear with the constant regressor because ‘Is Toyota’ and ‘Is Honda’ are a linear combination of the constant regressor (see Equation 3.1).</w:t>
      </w:r>
    </w:p>
    <w:p w14:paraId="2CFE3A2A" w14:textId="5F9FBF26" w:rsidR="000531DD" w:rsidRDefault="000531DD" w:rsidP="000531DD">
      <w:pPr>
        <w:spacing w:line="240" w:lineRule="auto"/>
        <w:rPr>
          <w:rFonts w:ascii="Times New Roman" w:eastAsia="Times New Roman" w:hAnsi="Times New Roman" w:cs="Times New Roman"/>
          <w:sz w:val="24"/>
          <w:szCs w:val="24"/>
        </w:rPr>
      </w:pPr>
    </w:p>
    <w:p w14:paraId="300A1BF9"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Toyot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 xml:space="preserve"> 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 0i</m:t>
            </m:r>
          </m:sub>
        </m:sSub>
      </m:oMath>
      <w:r>
        <w:rPr>
          <w:rFonts w:ascii="Times New Roman" w:eastAsia="Times New Roman" w:hAnsi="Times New Roman" w:cs="Times New Roman"/>
          <w:sz w:val="24"/>
          <w:szCs w:val="24"/>
        </w:rPr>
        <w:t xml:space="preserve"> (Equation 3.1)</w:t>
      </w:r>
    </w:p>
    <w:p w14:paraId="0EDFFA93" w14:textId="4096795A"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3.1 - Equation representing perfect multicollinearity when including ‘Is Toyota’, ‘Is Honda' and the constant term in the regression.</w:t>
      </w:r>
    </w:p>
    <w:p w14:paraId="419C8815" w14:textId="72B7D34D" w:rsidR="000531DD" w:rsidRDefault="000531DD" w:rsidP="000531DD">
      <w:pPr>
        <w:spacing w:line="240" w:lineRule="auto"/>
        <w:rPr>
          <w:rFonts w:ascii="Times New Roman" w:eastAsia="Times New Roman" w:hAnsi="Times New Roman" w:cs="Times New Roman"/>
          <w:sz w:val="24"/>
          <w:szCs w:val="24"/>
        </w:rPr>
      </w:pPr>
    </w:p>
    <w:p w14:paraId="2D1D6DB0" w14:textId="32671FA3"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identical problem is also encountered if we include both ‘Is Car’ and ‘Is SUV’ variables, as each observation must be in one category, and they are also mutually exclusive (Equation 3.2). </w:t>
      </w:r>
    </w:p>
    <w:p w14:paraId="5D05CD88" w14:textId="1FEA5AC9" w:rsidR="000531DD" w:rsidRDefault="000531DD" w:rsidP="000531DD">
      <w:pPr>
        <w:spacing w:line="240" w:lineRule="auto"/>
        <w:rPr>
          <w:rFonts w:ascii="Times New Roman" w:eastAsia="Times New Roman" w:hAnsi="Times New Roman" w:cs="Times New Roman"/>
          <w:sz w:val="24"/>
          <w:szCs w:val="24"/>
        </w:rPr>
      </w:pPr>
    </w:p>
    <w:p w14:paraId="42AAB705"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Ca</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0i</m:t>
            </m:r>
          </m:sub>
        </m:sSub>
      </m:oMath>
      <w:r>
        <w:rPr>
          <w:rFonts w:ascii="Times New Roman" w:eastAsia="Times New Roman" w:hAnsi="Times New Roman" w:cs="Times New Roman"/>
          <w:sz w:val="24"/>
          <w:szCs w:val="24"/>
        </w:rPr>
        <w:t xml:space="preserve"> (Equation 3.2)</w:t>
      </w:r>
    </w:p>
    <w:p w14:paraId="2A3C01C6" w14:textId="3D5B7C4F"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3.2 - Equation representing perfect multicollinearity when including ‘Is Car’, ‘Is SUV’ and the constant term in the regression.</w:t>
      </w:r>
    </w:p>
    <w:p w14:paraId="5B1CE34B" w14:textId="3A3CE0F3" w:rsidR="000531DD" w:rsidRDefault="000531DD" w:rsidP="000531DD">
      <w:pPr>
        <w:spacing w:line="240" w:lineRule="auto"/>
        <w:ind w:left="720"/>
        <w:jc w:val="center"/>
        <w:rPr>
          <w:rFonts w:ascii="Times New Roman" w:eastAsia="Times New Roman" w:hAnsi="Times New Roman" w:cs="Times New Roman"/>
          <w:sz w:val="24"/>
          <w:szCs w:val="24"/>
        </w:rPr>
      </w:pPr>
    </w:p>
    <w:p w14:paraId="7E489054" w14:textId="07666F69"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this issue, we can omit one dummy variable from each of the equations, such as omitting </w:t>
      </w:r>
      <m:oMath>
        <m:r>
          <w:rPr>
            <w:rFonts w:ascii="Cambria Math" w:eastAsia="Times New Roman" w:hAnsi="Cambria Math" w:cs="Times New Roman"/>
            <w:sz w:val="24"/>
            <w:szCs w:val="24"/>
          </w:rPr>
          <m:t>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first equation and omitting </w:t>
      </w:r>
      <m:oMath>
        <m:r>
          <w:rPr>
            <w:rFonts w:ascii="Cambria Math" w:eastAsia="Times New Roman" w:hAnsi="Cambria Math" w:cs="Times New Roman"/>
            <w:sz w:val="24"/>
            <w:szCs w:val="24"/>
          </w:rPr>
          <m:t>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second equation. In doing so, the effects of the omitted variables would be included in the constant term.</w:t>
      </w:r>
    </w:p>
    <w:p w14:paraId="7843446A" w14:textId="185D0888" w:rsidR="00E5566E" w:rsidRDefault="00E5566E" w:rsidP="000778C6">
      <w:pPr>
        <w:spacing w:line="240" w:lineRule="auto"/>
        <w:rPr>
          <w:i/>
        </w:rPr>
      </w:pPr>
    </w:p>
    <w:p w14:paraId="29E709A2" w14:textId="77777777" w:rsidR="008A119B" w:rsidRDefault="008A119B" w:rsidP="008A119B">
      <w:pPr>
        <w:pStyle w:val="Subtitle"/>
        <w:spacing w:after="0" w:line="240" w:lineRule="auto"/>
        <w:rPr>
          <w:b/>
          <w:color w:val="000000"/>
          <w:u w:val="single"/>
        </w:rPr>
      </w:pPr>
      <w:r>
        <w:rPr>
          <w:rFonts w:ascii="Times New Roman" w:eastAsia="Times New Roman" w:hAnsi="Times New Roman" w:cs="Times New Roman"/>
          <w:b/>
          <w:color w:val="000000"/>
          <w:sz w:val="24"/>
          <w:szCs w:val="24"/>
          <w:u w:val="single"/>
        </w:rPr>
        <w:t>Various Linear Regressions for Price with Different Independent Variables per Regression</w:t>
      </w:r>
    </w:p>
    <w:p w14:paraId="1F69513D" w14:textId="77777777" w:rsidR="008A119B" w:rsidRDefault="008A119B" w:rsidP="008A119B">
      <w:pPr>
        <w:spacing w:line="240" w:lineRule="auto"/>
      </w:pPr>
    </w:p>
    <w:p w14:paraId="265E4C48"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Price vs Wheelbase</w:t>
      </w:r>
    </w:p>
    <w:p w14:paraId="0AA125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Price vs Wheelbase + Interior Area</w:t>
      </w:r>
    </w:p>
    <w:p w14:paraId="632FF8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3: Price vs Wheelbase + Interior Area + Horsepower</w:t>
      </w:r>
    </w:p>
    <w:p w14:paraId="4264DF77"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4: Price vs Wheelbase + Interior Area + Horsepower + Is SUV</w:t>
      </w:r>
    </w:p>
    <w:p w14:paraId="32DDBC69"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5: Price vs Wheelbase + Interior Area + Horsepower + Is SUV + Is Toyota</w:t>
      </w:r>
    </w:p>
    <w:p w14:paraId="7F91DC5C" w14:textId="77777777" w:rsidR="008A119B" w:rsidRDefault="008A119B" w:rsidP="008A119B">
      <w:pPr>
        <w:spacing w:line="240" w:lineRule="auto"/>
        <w:rPr>
          <w:rFonts w:ascii="Times New Roman" w:eastAsia="Times New Roman" w:hAnsi="Times New Roman" w:cs="Times New Roman"/>
          <w:sz w:val="24"/>
          <w:szCs w:val="24"/>
        </w:rPr>
      </w:pPr>
    </w:p>
    <w:p w14:paraId="19BFBBEC" w14:textId="77777777"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NB: In Table 4.1, the numbers in parentheses below coefficients are the standard errors (Accounting for heteroskedasticity) corresponding to their respective estimates. The number of asterisks beside the coefficient estimates refers to the extent of statistical significance for the hypothesis test. (* means statistically significant at 10% statistical significance, ** means statistically significant at 5% statistical significance and *** means statistically significant at 1% statistical significance).</w:t>
      </w:r>
    </w:p>
    <w:p w14:paraId="5D9EA32E" w14:textId="72EBBBA0" w:rsidR="008A119B" w:rsidRDefault="008A119B" w:rsidP="000778C6">
      <w:pPr>
        <w:spacing w:line="240" w:lineRule="auto"/>
        <w:rPr>
          <w:i/>
        </w:rPr>
      </w:pPr>
    </w:p>
    <w:tbl>
      <w:tblPr>
        <w:tblpPr w:leftFromText="180" w:rightFromText="180" w:topFromText="180" w:bottomFromText="180" w:vertAnchor="text" w:tblpX="-15"/>
        <w:tblW w:w="9360" w:type="dxa"/>
        <w:tblBorders>
          <w:top w:val="single" w:sz="4" w:space="0" w:color="C9DAF8"/>
          <w:left w:val="single" w:sz="4" w:space="0" w:color="C9DAF8"/>
          <w:bottom w:val="single" w:sz="4" w:space="0" w:color="C9DAF8"/>
          <w:right w:val="single" w:sz="4" w:space="0" w:color="C9DAF8"/>
          <w:insideH w:val="single" w:sz="4" w:space="0" w:color="C9DAF8"/>
          <w:insideV w:val="single" w:sz="4" w:space="0" w:color="C9DAF8"/>
        </w:tblBorders>
        <w:tblLayout w:type="fixed"/>
        <w:tblLook w:val="0600" w:firstRow="0" w:lastRow="0" w:firstColumn="0" w:lastColumn="0" w:noHBand="1" w:noVBand="1"/>
      </w:tblPr>
      <w:tblGrid>
        <w:gridCol w:w="1560"/>
        <w:gridCol w:w="1560"/>
        <w:gridCol w:w="1560"/>
        <w:gridCol w:w="1560"/>
        <w:gridCol w:w="1560"/>
        <w:gridCol w:w="1560"/>
      </w:tblGrid>
      <w:tr w:rsidR="008A119B" w14:paraId="4D291C61" w14:textId="77777777" w:rsidTr="004F1137">
        <w:tc>
          <w:tcPr>
            <w:tcW w:w="1560" w:type="dxa"/>
            <w:shd w:val="clear" w:color="auto" w:fill="3C78D8"/>
          </w:tcPr>
          <w:p w14:paraId="03499828" w14:textId="77777777" w:rsidR="008A119B" w:rsidRDefault="008A119B" w:rsidP="004F1137">
            <w:pPr>
              <w:widowControl w:val="0"/>
              <w:spacing w:line="240" w:lineRule="auto"/>
              <w:jc w:val="center"/>
            </w:pPr>
          </w:p>
        </w:tc>
        <w:tc>
          <w:tcPr>
            <w:tcW w:w="1560" w:type="dxa"/>
            <w:shd w:val="clear" w:color="auto" w:fill="3C78D8"/>
          </w:tcPr>
          <w:p w14:paraId="395EE91C" w14:textId="77777777" w:rsidR="008A119B" w:rsidRDefault="008A119B" w:rsidP="004F1137">
            <w:pPr>
              <w:widowControl w:val="0"/>
              <w:spacing w:line="240" w:lineRule="auto"/>
              <w:jc w:val="center"/>
              <w:rPr>
                <w:b/>
              </w:rPr>
            </w:pPr>
            <w:r>
              <w:rPr>
                <w:b/>
              </w:rPr>
              <w:t>Reg1</w:t>
            </w:r>
          </w:p>
        </w:tc>
        <w:tc>
          <w:tcPr>
            <w:tcW w:w="1560" w:type="dxa"/>
            <w:shd w:val="clear" w:color="auto" w:fill="3C78D8"/>
          </w:tcPr>
          <w:p w14:paraId="0921A1F5" w14:textId="77777777" w:rsidR="008A119B" w:rsidRDefault="008A119B" w:rsidP="004F1137">
            <w:pPr>
              <w:widowControl w:val="0"/>
              <w:spacing w:line="240" w:lineRule="auto"/>
              <w:jc w:val="center"/>
              <w:rPr>
                <w:b/>
              </w:rPr>
            </w:pPr>
            <w:r>
              <w:rPr>
                <w:b/>
              </w:rPr>
              <w:t>Reg2</w:t>
            </w:r>
          </w:p>
        </w:tc>
        <w:tc>
          <w:tcPr>
            <w:tcW w:w="1560" w:type="dxa"/>
            <w:shd w:val="clear" w:color="auto" w:fill="3C78D8"/>
          </w:tcPr>
          <w:p w14:paraId="6A4EE2C2" w14:textId="77777777" w:rsidR="008A119B" w:rsidRDefault="008A119B" w:rsidP="004F1137">
            <w:pPr>
              <w:widowControl w:val="0"/>
              <w:spacing w:line="240" w:lineRule="auto"/>
              <w:jc w:val="center"/>
              <w:rPr>
                <w:b/>
              </w:rPr>
            </w:pPr>
            <w:r>
              <w:rPr>
                <w:b/>
              </w:rPr>
              <w:t>Reg3</w:t>
            </w:r>
          </w:p>
        </w:tc>
        <w:tc>
          <w:tcPr>
            <w:tcW w:w="1560" w:type="dxa"/>
            <w:shd w:val="clear" w:color="auto" w:fill="3C78D8"/>
          </w:tcPr>
          <w:p w14:paraId="6F5E1380" w14:textId="77777777" w:rsidR="008A119B" w:rsidRDefault="008A119B" w:rsidP="004F1137">
            <w:pPr>
              <w:widowControl w:val="0"/>
              <w:spacing w:line="240" w:lineRule="auto"/>
              <w:jc w:val="center"/>
              <w:rPr>
                <w:b/>
              </w:rPr>
            </w:pPr>
            <w:r>
              <w:rPr>
                <w:b/>
              </w:rPr>
              <w:t>Reg4</w:t>
            </w:r>
          </w:p>
        </w:tc>
        <w:tc>
          <w:tcPr>
            <w:tcW w:w="1560" w:type="dxa"/>
            <w:shd w:val="clear" w:color="auto" w:fill="3C78D8"/>
          </w:tcPr>
          <w:p w14:paraId="071F0C57" w14:textId="77777777" w:rsidR="008A119B" w:rsidRDefault="008A119B" w:rsidP="004F1137">
            <w:pPr>
              <w:widowControl w:val="0"/>
              <w:spacing w:line="240" w:lineRule="auto"/>
              <w:jc w:val="center"/>
              <w:rPr>
                <w:b/>
              </w:rPr>
            </w:pPr>
            <w:r>
              <w:rPr>
                <w:b/>
              </w:rPr>
              <w:t>Reg5</w:t>
            </w:r>
          </w:p>
        </w:tc>
      </w:tr>
      <w:tr w:rsidR="008A119B" w14:paraId="3721D9F1" w14:textId="77777777" w:rsidTr="0084529D">
        <w:trPr>
          <w:trHeight w:val="719"/>
        </w:trPr>
        <w:tc>
          <w:tcPr>
            <w:tcW w:w="1560" w:type="dxa"/>
            <w:shd w:val="clear" w:color="auto" w:fill="A4C2F4"/>
          </w:tcPr>
          <w:p w14:paraId="3D32869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w:t>
            </w:r>
          </w:p>
          <w:p w14:paraId="5662F28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(Inches)</w:t>
            </w:r>
          </w:p>
        </w:tc>
        <w:tc>
          <w:tcPr>
            <w:tcW w:w="1560" w:type="dxa"/>
            <w:shd w:val="clear" w:color="auto" w:fill="A4C2F4"/>
          </w:tcPr>
          <w:p w14:paraId="2CFFE9E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p w14:paraId="70BE401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560" w:type="dxa"/>
            <w:shd w:val="clear" w:color="auto" w:fill="A4C2F4"/>
          </w:tcPr>
          <w:p w14:paraId="4DAD195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p w14:paraId="04B1923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560" w:type="dxa"/>
            <w:shd w:val="clear" w:color="auto" w:fill="A4C2F4"/>
          </w:tcPr>
          <w:p w14:paraId="2B442F7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p w14:paraId="71DE958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560" w:type="dxa"/>
            <w:shd w:val="clear" w:color="auto" w:fill="A4C2F4"/>
          </w:tcPr>
          <w:p w14:paraId="031AD14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p w14:paraId="36DA7E7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560" w:type="dxa"/>
            <w:shd w:val="clear" w:color="auto" w:fill="A4C2F4"/>
          </w:tcPr>
          <w:p w14:paraId="7732322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p w14:paraId="5BBB2FB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r>
      <w:tr w:rsidR="008A119B" w14:paraId="06F538BD" w14:textId="77777777" w:rsidTr="0084529D">
        <w:trPr>
          <w:trHeight w:val="710"/>
        </w:trPr>
        <w:tc>
          <w:tcPr>
            <w:tcW w:w="1560" w:type="dxa"/>
            <w:shd w:val="clear" w:color="auto" w:fill="A4C2F4"/>
          </w:tcPr>
          <w:p w14:paraId="28B2CC5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560" w:type="dxa"/>
            <w:shd w:val="clear" w:color="auto" w:fill="A4C2F4"/>
          </w:tcPr>
          <w:p w14:paraId="6E550A2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F72718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0.152***</w:t>
            </w:r>
          </w:p>
          <w:p w14:paraId="7479095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560" w:type="dxa"/>
            <w:shd w:val="clear" w:color="auto" w:fill="A4C2F4"/>
          </w:tcPr>
          <w:p w14:paraId="626890F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p w14:paraId="608E5A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503F3D9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252AF4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7BF169E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777963C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r>
      <w:tr w:rsidR="008A119B" w14:paraId="3E769189" w14:textId="77777777" w:rsidTr="0084529D">
        <w:trPr>
          <w:trHeight w:val="710"/>
        </w:trPr>
        <w:tc>
          <w:tcPr>
            <w:tcW w:w="1560" w:type="dxa"/>
            <w:shd w:val="clear" w:color="auto" w:fill="A4C2F4"/>
          </w:tcPr>
          <w:p w14:paraId="088E58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560" w:type="dxa"/>
            <w:shd w:val="clear" w:color="auto" w:fill="A4C2F4"/>
          </w:tcPr>
          <w:p w14:paraId="57EF3FB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06B853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07E2DBB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p w14:paraId="2512ABB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5851FE2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0.086***</w:t>
            </w:r>
          </w:p>
          <w:p w14:paraId="5C8F9E8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0CC210D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w:t>
            </w:r>
          </w:p>
          <w:p w14:paraId="0C0BDEF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8A119B" w14:paraId="78E317DE" w14:textId="77777777" w:rsidTr="0084529D">
        <w:trPr>
          <w:trHeight w:val="620"/>
        </w:trPr>
        <w:tc>
          <w:tcPr>
            <w:tcW w:w="1560" w:type="dxa"/>
            <w:shd w:val="clear" w:color="auto" w:fill="A4C2F4"/>
          </w:tcPr>
          <w:p w14:paraId="65BA17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SUV </w:t>
            </w:r>
          </w:p>
        </w:tc>
        <w:tc>
          <w:tcPr>
            <w:tcW w:w="1560" w:type="dxa"/>
            <w:shd w:val="clear" w:color="auto" w:fill="A4C2F4"/>
          </w:tcPr>
          <w:p w14:paraId="2F2DF89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1A5A80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B2B9D6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41A31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0.816*</w:t>
            </w:r>
          </w:p>
          <w:p w14:paraId="3819EE0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560" w:type="dxa"/>
            <w:shd w:val="clear" w:color="auto" w:fill="A4C2F4"/>
          </w:tcPr>
          <w:p w14:paraId="55CCC85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0.801*</w:t>
            </w:r>
          </w:p>
          <w:p w14:paraId="2C2DEC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r>
      <w:tr w:rsidR="008A119B" w14:paraId="3BAB9EE1" w14:textId="77777777" w:rsidTr="0084529D">
        <w:trPr>
          <w:trHeight w:val="620"/>
        </w:trPr>
        <w:tc>
          <w:tcPr>
            <w:tcW w:w="1560" w:type="dxa"/>
            <w:shd w:val="clear" w:color="auto" w:fill="A4C2F4"/>
          </w:tcPr>
          <w:p w14:paraId="3B1788D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560" w:type="dxa"/>
            <w:shd w:val="clear" w:color="auto" w:fill="A4C2F4"/>
          </w:tcPr>
          <w:p w14:paraId="10E9C79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9A049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6AF7C9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54C3F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92BAD7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-0.754**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0.379)</w:t>
            </w:r>
          </w:p>
        </w:tc>
      </w:tr>
      <w:tr w:rsidR="008A119B" w14:paraId="136E6455" w14:textId="77777777" w:rsidTr="0084529D">
        <w:trPr>
          <w:trHeight w:val="620"/>
        </w:trPr>
        <w:tc>
          <w:tcPr>
            <w:tcW w:w="1560" w:type="dxa"/>
            <w:shd w:val="clear" w:color="auto" w:fill="A4C2F4"/>
          </w:tcPr>
          <w:p w14:paraId="41FAEAF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560" w:type="dxa"/>
            <w:shd w:val="clear" w:color="auto" w:fill="A4C2F4"/>
          </w:tcPr>
          <w:p w14:paraId="5215D02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5.310</w:t>
            </w:r>
          </w:p>
          <w:p w14:paraId="29DFB67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(4.467)</w:t>
            </w:r>
          </w:p>
        </w:tc>
        <w:tc>
          <w:tcPr>
            <w:tcW w:w="1560" w:type="dxa"/>
            <w:shd w:val="clear" w:color="auto" w:fill="A4C2F4"/>
          </w:tcPr>
          <w:p w14:paraId="06670F6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22.798***</w:t>
            </w:r>
          </w:p>
          <w:p w14:paraId="3AC7A48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(4.989)</w:t>
            </w:r>
          </w:p>
        </w:tc>
        <w:tc>
          <w:tcPr>
            <w:tcW w:w="1560" w:type="dxa"/>
            <w:shd w:val="clear" w:color="auto" w:fill="A4C2F4"/>
          </w:tcPr>
          <w:p w14:paraId="17FFF0B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5.804</w:t>
            </w:r>
          </w:p>
          <w:p w14:paraId="50C35BC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(4.453)</w:t>
            </w:r>
          </w:p>
        </w:tc>
        <w:tc>
          <w:tcPr>
            <w:tcW w:w="1560" w:type="dxa"/>
            <w:shd w:val="clear" w:color="auto" w:fill="A4C2F4"/>
          </w:tcPr>
          <w:p w14:paraId="71A3AD7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11.296**</w:t>
            </w:r>
          </w:p>
          <w:p w14:paraId="2F428A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(5.330)</w:t>
            </w:r>
          </w:p>
        </w:tc>
        <w:tc>
          <w:tcPr>
            <w:tcW w:w="1560" w:type="dxa"/>
            <w:shd w:val="clear" w:color="auto" w:fill="A4C2F4"/>
          </w:tcPr>
          <w:p w14:paraId="26C6E82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10.008*</w:t>
            </w:r>
          </w:p>
          <w:p w14:paraId="37C4C9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(5.304)</w:t>
            </w:r>
          </w:p>
        </w:tc>
      </w:tr>
      <w:tr w:rsidR="008A119B" w14:paraId="190D1CE5" w14:textId="77777777" w:rsidTr="0084529D">
        <w:trPr>
          <w:trHeight w:val="350"/>
        </w:trPr>
        <w:tc>
          <w:tcPr>
            <w:tcW w:w="1560" w:type="dxa"/>
            <w:shd w:val="clear" w:color="auto" w:fill="A4C2F4"/>
          </w:tcPr>
          <w:p w14:paraId="0D0BDF68" w14:textId="77777777" w:rsidR="008A119B" w:rsidRDefault="008A119B" w:rsidP="004F1137">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560" w:type="dxa"/>
            <w:shd w:val="clear" w:color="auto" w:fill="A4C2F4"/>
          </w:tcPr>
          <w:p w14:paraId="1B865A0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1560" w:type="dxa"/>
            <w:shd w:val="clear" w:color="auto" w:fill="A4C2F4"/>
          </w:tcPr>
          <w:p w14:paraId="0C3939D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1560" w:type="dxa"/>
            <w:shd w:val="clear" w:color="auto" w:fill="A4C2F4"/>
          </w:tcPr>
          <w:p w14:paraId="0A6D429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1560" w:type="dxa"/>
            <w:shd w:val="clear" w:color="auto" w:fill="A4C2F4"/>
          </w:tcPr>
          <w:p w14:paraId="1C9FEE3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tc>
        <w:tc>
          <w:tcPr>
            <w:tcW w:w="1560" w:type="dxa"/>
            <w:shd w:val="clear" w:color="auto" w:fill="A4C2F4"/>
          </w:tcPr>
          <w:p w14:paraId="3E81EA7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r>
      <w:tr w:rsidR="008A119B" w14:paraId="2ABC463B" w14:textId="77777777" w:rsidTr="004F1137">
        <w:tc>
          <w:tcPr>
            <w:tcW w:w="1560" w:type="dxa"/>
            <w:shd w:val="clear" w:color="auto" w:fill="A4C2F4"/>
          </w:tcPr>
          <w:p w14:paraId="271A371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560" w:type="dxa"/>
            <w:shd w:val="clear" w:color="auto" w:fill="A4C2F4"/>
          </w:tcPr>
          <w:p w14:paraId="33C116A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18F94B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C49B8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333310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DED114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bl>
    <w:p w14:paraId="13DF07D3" w14:textId="2056C2CE"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4.1 - Regression output for the 5 regressions listed above</w:t>
      </w:r>
      <w:r w:rsidR="00616C86">
        <w:rPr>
          <w:rFonts w:ascii="Times New Roman" w:eastAsia="Times New Roman" w:hAnsi="Times New Roman" w:cs="Times New Roman"/>
          <w:i/>
          <w:sz w:val="24"/>
          <w:szCs w:val="24"/>
        </w:rPr>
        <w:t xml:space="preserve"> </w:t>
      </w:r>
    </w:p>
    <w:p w14:paraId="39A17D1D" w14:textId="77777777" w:rsidR="008A119B" w:rsidRDefault="008A119B" w:rsidP="000778C6">
      <w:pPr>
        <w:spacing w:line="240" w:lineRule="auto"/>
        <w:rPr>
          <w:i/>
        </w:rPr>
      </w:pPr>
    </w:p>
    <w:sectPr w:rsidR="008A1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49908" w14:textId="77777777" w:rsidR="00606048" w:rsidRDefault="00606048" w:rsidP="008407B1">
      <w:pPr>
        <w:spacing w:line="240" w:lineRule="auto"/>
      </w:pPr>
      <w:r>
        <w:separator/>
      </w:r>
    </w:p>
  </w:endnote>
  <w:endnote w:type="continuationSeparator" w:id="0">
    <w:p w14:paraId="0FFCA798" w14:textId="77777777" w:rsidR="00606048" w:rsidRDefault="00606048"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1B5B4" w14:textId="77777777" w:rsidR="00606048" w:rsidRDefault="00606048" w:rsidP="008407B1">
      <w:pPr>
        <w:spacing w:line="240" w:lineRule="auto"/>
      </w:pPr>
      <w:r>
        <w:separator/>
      </w:r>
    </w:p>
  </w:footnote>
  <w:footnote w:type="continuationSeparator" w:id="0">
    <w:p w14:paraId="6982E696" w14:textId="77777777" w:rsidR="00606048" w:rsidRDefault="00606048" w:rsidP="008407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531DD"/>
    <w:rsid w:val="000778C6"/>
    <w:rsid w:val="00137892"/>
    <w:rsid w:val="00606048"/>
    <w:rsid w:val="00616C86"/>
    <w:rsid w:val="006D4357"/>
    <w:rsid w:val="008407B1"/>
    <w:rsid w:val="0084529D"/>
    <w:rsid w:val="008A119B"/>
    <w:rsid w:val="00AB681E"/>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7</cp:revision>
  <dcterms:created xsi:type="dcterms:W3CDTF">2025-07-22T05:28:00Z</dcterms:created>
  <dcterms:modified xsi:type="dcterms:W3CDTF">2025-07-22T06:18:00Z</dcterms:modified>
</cp:coreProperties>
</file>