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Staffing Company System Design</w:t>
        <w:br/>
      </w:r>
      <w:r>
        <w:rPr>
          <w:sz w:val="26"/>
        </w:rPr>
        <w:t>Onboarding → Assignment → Timesheet → Invoice → Payroll</w:t>
      </w:r>
    </w:p>
    <w:p>
      <w:pPr>
        <w:jc w:val="center"/>
      </w:pPr>
      <w:r>
        <w:rPr>
          <w:i/>
        </w:rPr>
        <w:t>Recommended architecture for Eniac's staffing and professional services workflow</w:t>
      </w:r>
    </w:p>
    <w:p>
      <w:pPr>
        <w:pStyle w:val="Heading1"/>
      </w:pPr>
      <w:r>
        <w:t>1. Overall Relationship</w:t>
      </w:r>
    </w:p>
    <w:p>
      <w:r>
        <w:t>The cleanest design for a staffing company is to treat Employee/Resource Onboarding → Assignment → Timesheet → Invoice/Payroll as one connected workflow. The employee or contractor should be created only once, and all downstream transactions should reference the same Resource ID.</w:t>
      </w:r>
    </w:p>
    <w:p>
      <w:r>
        <w:t>Recommended flow:</w:t>
        <w:br/>
        <w:t>CLIENT → Assignment / PO / SOW → Resource → Employee / Contractor → Timesheet → Invoice / Payroll</w:t>
      </w:r>
    </w:p>
    <w:p>
      <w:pPr>
        <w:pStyle w:val="Heading1"/>
      </w:pPr>
      <w:r>
        <w:t>2. Onboarding: Resource Master Record</w:t>
      </w:r>
    </w:p>
    <w:p>
      <w:r>
        <w:t>The onboarding module should create the master Resource record. A unique Resource ID should remain stable throughout the person's relationship with Eniac.</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Example</w:t>
            </w:r>
          </w:p>
        </w:tc>
      </w:tr>
      <w:tr>
        <w:tc>
          <w:tcPr>
            <w:tcW w:type="dxa" w:w="5112"/>
            <w:vAlign w:val="center"/>
          </w:tcPr>
          <w:p>
            <w:r>
              <w:t>Resource ID</w:t>
            </w:r>
          </w:p>
        </w:tc>
        <w:tc>
          <w:tcPr>
            <w:tcW w:type="dxa" w:w="5112"/>
            <w:vAlign w:val="center"/>
          </w:tcPr>
          <w:p>
            <w:r>
              <w:t>E000123</w:t>
            </w:r>
          </w:p>
        </w:tc>
      </w:tr>
      <w:tr>
        <w:tc>
          <w:tcPr>
            <w:tcW w:type="dxa" w:w="5112"/>
            <w:vAlign w:val="center"/>
          </w:tcPr>
          <w:p>
            <w:r>
              <w:t>Name</w:t>
            </w:r>
          </w:p>
        </w:tc>
        <w:tc>
          <w:tcPr>
            <w:tcW w:type="dxa" w:w="5112"/>
            <w:vAlign w:val="center"/>
          </w:tcPr>
          <w:p>
            <w:r>
              <w:t>John Smith</w:t>
            </w:r>
          </w:p>
        </w:tc>
      </w:tr>
      <w:tr>
        <w:tc>
          <w:tcPr>
            <w:tcW w:type="dxa" w:w="5112"/>
            <w:vAlign w:val="center"/>
          </w:tcPr>
          <w:p>
            <w:r>
              <w:t>Type</w:t>
            </w:r>
          </w:p>
        </w:tc>
        <w:tc>
          <w:tcPr>
            <w:tcW w:type="dxa" w:w="5112"/>
            <w:vAlign w:val="center"/>
          </w:tcPr>
          <w:p>
            <w:r>
              <w:t>W2 Employee</w:t>
            </w:r>
          </w:p>
        </w:tc>
      </w:tr>
      <w:tr>
        <w:tc>
          <w:tcPr>
            <w:tcW w:type="dxa" w:w="5112"/>
            <w:vAlign w:val="center"/>
          </w:tcPr>
          <w:p>
            <w:r>
              <w:t>Location</w:t>
            </w:r>
          </w:p>
        </w:tc>
        <w:tc>
          <w:tcPr>
            <w:tcW w:type="dxa" w:w="5112"/>
            <w:vAlign w:val="center"/>
          </w:tcPr>
          <w:p>
            <w:r>
              <w:t>USA</w:t>
            </w:r>
          </w:p>
        </w:tc>
      </w:tr>
      <w:tr>
        <w:tc>
          <w:tcPr>
            <w:tcW w:type="dxa" w:w="5112"/>
            <w:vAlign w:val="center"/>
          </w:tcPr>
          <w:p>
            <w:r>
              <w:t>Email</w:t>
            </w:r>
          </w:p>
        </w:tc>
        <w:tc>
          <w:tcPr>
            <w:tcW w:type="dxa" w:w="5112"/>
            <w:vAlign w:val="center"/>
          </w:tcPr>
          <w:p>
            <w:r>
              <w:t>john@...</w:t>
            </w:r>
          </w:p>
        </w:tc>
      </w:tr>
      <w:tr>
        <w:tc>
          <w:tcPr>
            <w:tcW w:type="dxa" w:w="5112"/>
            <w:vAlign w:val="center"/>
          </w:tcPr>
          <w:p>
            <w:r>
              <w:t>Hire Date</w:t>
            </w:r>
          </w:p>
        </w:tc>
        <w:tc>
          <w:tcPr>
            <w:tcW w:type="dxa" w:w="5112"/>
            <w:vAlign w:val="center"/>
          </w:tcPr>
          <w:p>
            <w:r>
              <w:t>9/15/2026</w:t>
            </w:r>
          </w:p>
        </w:tc>
      </w:tr>
      <w:tr>
        <w:tc>
          <w:tcPr>
            <w:tcW w:type="dxa" w:w="5112"/>
            <w:vAlign w:val="center"/>
          </w:tcPr>
          <w:p>
            <w:r>
              <w:t>Employment Status</w:t>
            </w:r>
          </w:p>
        </w:tc>
        <w:tc>
          <w:tcPr>
            <w:tcW w:type="dxa" w:w="5112"/>
            <w:vAlign w:val="center"/>
          </w:tcPr>
          <w:p>
            <w:r>
              <w:t>Active</w:t>
            </w:r>
          </w:p>
        </w:tc>
      </w:tr>
      <w:tr>
        <w:tc>
          <w:tcPr>
            <w:tcW w:type="dxa" w:w="5112"/>
            <w:vAlign w:val="center"/>
          </w:tcPr>
          <w:p>
            <w:r>
              <w:t>Pay Type</w:t>
            </w:r>
          </w:p>
        </w:tc>
        <w:tc>
          <w:tcPr>
            <w:tcW w:type="dxa" w:w="5112"/>
            <w:vAlign w:val="center"/>
          </w:tcPr>
          <w:p>
            <w:r>
              <w:t>Hourly</w:t>
            </w:r>
          </w:p>
        </w:tc>
      </w:tr>
      <w:tr>
        <w:tc>
          <w:tcPr>
            <w:tcW w:type="dxa" w:w="5112"/>
            <w:vAlign w:val="center"/>
          </w:tcPr>
          <w:p>
            <w:r>
              <w:t>Pay Rate</w:t>
            </w:r>
          </w:p>
        </w:tc>
        <w:tc>
          <w:tcPr>
            <w:tcW w:type="dxa" w:w="5112"/>
            <w:vAlign w:val="center"/>
          </w:tcPr>
          <w:p>
            <w:r>
              <w:t>$65/hr</w:t>
            </w:r>
          </w:p>
        </w:tc>
      </w:tr>
      <w:tr>
        <w:tc>
          <w:tcPr>
            <w:tcW w:type="dxa" w:w="5112"/>
            <w:vAlign w:val="center"/>
          </w:tcPr>
          <w:p>
            <w:r>
              <w:t>Department</w:t>
            </w:r>
          </w:p>
        </w:tc>
        <w:tc>
          <w:tcPr>
            <w:tcW w:type="dxa" w:w="5112"/>
            <w:vAlign w:val="center"/>
          </w:tcPr>
          <w:p>
            <w:r>
              <w:t>Engineering</w:t>
            </w:r>
          </w:p>
        </w:tc>
      </w:tr>
      <w:tr>
        <w:tc>
          <w:tcPr>
            <w:tcW w:type="dxa" w:w="5112"/>
            <w:vAlign w:val="center"/>
          </w:tcPr>
          <w:p>
            <w:r>
              <w:t>Manager</w:t>
            </w:r>
          </w:p>
        </w:tc>
        <w:tc>
          <w:tcPr>
            <w:tcW w:type="dxa" w:w="5112"/>
            <w:vAlign w:val="center"/>
          </w:tcPr>
          <w:p>
            <w:r>
              <w:t>Arun</w:t>
            </w:r>
          </w:p>
        </w:tc>
      </w:tr>
      <w:tr>
        <w:tc>
          <w:tcPr>
            <w:tcW w:type="dxa" w:w="5112"/>
            <w:vAlign w:val="center"/>
          </w:tcPr>
          <w:p>
            <w:r>
              <w:t>Payroll Information</w:t>
            </w:r>
          </w:p>
        </w:tc>
        <w:tc>
          <w:tcPr>
            <w:tcW w:type="dxa" w:w="5112"/>
            <w:vAlign w:val="center"/>
          </w:tcPr>
          <w:p>
            <w:r>
              <w:t>Employee payroll profile</w:t>
            </w:r>
          </w:p>
        </w:tc>
      </w:tr>
      <w:tr>
        <w:tc>
          <w:tcPr>
            <w:tcW w:type="dxa" w:w="5112"/>
            <w:vAlign w:val="center"/>
          </w:tcPr>
          <w:p>
            <w:r>
              <w:t>Documents</w:t>
            </w:r>
          </w:p>
        </w:tc>
        <w:tc>
          <w:tcPr>
            <w:tcW w:type="dxa" w:w="5112"/>
            <w:vAlign w:val="center"/>
          </w:tcPr>
          <w:p>
            <w:r>
              <w:t>I-9, W-4, Offer Letter</w:t>
            </w:r>
          </w:p>
        </w:tc>
      </w:tr>
    </w:tbl>
    <w:p/>
    <w:p>
      <w:r>
        <w:t>Important: Client-specific information should not normally be stored directly on the Resource master because the same person may work for multiple clients. Client/project-specific information belongs in the Assignment.</w:t>
      </w:r>
    </w:p>
    <w:p>
      <w:pPr>
        <w:pStyle w:val="Heading1"/>
      </w:pPr>
      <w:r>
        <w:t>3. Assignment: The Critical Linking Module</w:t>
      </w:r>
    </w:p>
    <w:p>
      <w:r>
        <w:t>The Assignment is the central object connecting a resource to a client, project, PO/SOW, billing rate, pay rate, dates, approval workflow, and billing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Example</w:t>
            </w:r>
          </w:p>
        </w:tc>
      </w:tr>
      <w:tr>
        <w:tc>
          <w:tcPr>
            <w:tcW w:type="dxa" w:w="5112"/>
            <w:vAlign w:val="center"/>
          </w:tcPr>
          <w:p>
            <w:r>
              <w:t>Assignment ID</w:t>
            </w:r>
          </w:p>
        </w:tc>
        <w:tc>
          <w:tcPr>
            <w:tcW w:type="dxa" w:w="5112"/>
            <w:vAlign w:val="center"/>
          </w:tcPr>
          <w:p>
            <w:r>
              <w:t>ASG-00125</w:t>
            </w:r>
          </w:p>
        </w:tc>
      </w:tr>
      <w:tr>
        <w:tc>
          <w:tcPr>
            <w:tcW w:type="dxa" w:w="5112"/>
            <w:vAlign w:val="center"/>
          </w:tcPr>
          <w:p>
            <w:r>
              <w:t>Resource ID</w:t>
            </w:r>
          </w:p>
        </w:tc>
        <w:tc>
          <w:tcPr>
            <w:tcW w:type="dxa" w:w="5112"/>
            <w:vAlign w:val="center"/>
          </w:tcPr>
          <w:p>
            <w:r>
              <w:t>E000123</w:t>
            </w:r>
          </w:p>
        </w:tc>
      </w:tr>
      <w:tr>
        <w:tc>
          <w:tcPr>
            <w:tcW w:type="dxa" w:w="5112"/>
            <w:vAlign w:val="center"/>
          </w:tcPr>
          <w:p>
            <w:r>
              <w:t>Client</w:t>
            </w:r>
          </w:p>
        </w:tc>
        <w:tc>
          <w:tcPr>
            <w:tcW w:type="dxa" w:w="5112"/>
            <w:vAlign w:val="center"/>
          </w:tcPr>
          <w:p>
            <w:r>
              <w:t>Sony</w:t>
            </w:r>
          </w:p>
        </w:tc>
      </w:tr>
      <w:tr>
        <w:tc>
          <w:tcPr>
            <w:tcW w:type="dxa" w:w="5112"/>
            <w:vAlign w:val="center"/>
          </w:tcPr>
          <w:p>
            <w:r>
              <w:t>Project</w:t>
            </w:r>
          </w:p>
        </w:tc>
        <w:tc>
          <w:tcPr>
            <w:tcW w:type="dxa" w:w="5112"/>
            <w:vAlign w:val="center"/>
          </w:tcPr>
          <w:p>
            <w:r>
              <w:t>Marketing Technology</w:t>
            </w:r>
          </w:p>
        </w:tc>
      </w:tr>
      <w:tr>
        <w:tc>
          <w:tcPr>
            <w:tcW w:type="dxa" w:w="5112"/>
            <w:vAlign w:val="center"/>
          </w:tcPr>
          <w:p>
            <w:r>
              <w:t>PO/SOW</w:t>
            </w:r>
          </w:p>
        </w:tc>
        <w:tc>
          <w:tcPr>
            <w:tcW w:type="dxa" w:w="5112"/>
            <w:vAlign w:val="center"/>
          </w:tcPr>
          <w:p>
            <w:r>
              <w:t>SIE-2026-001</w:t>
            </w:r>
          </w:p>
        </w:tc>
      </w:tr>
      <w:tr>
        <w:tc>
          <w:tcPr>
            <w:tcW w:type="dxa" w:w="5112"/>
            <w:vAlign w:val="center"/>
          </w:tcPr>
          <w:p>
            <w:r>
              <w:t>Start Date</w:t>
            </w:r>
          </w:p>
        </w:tc>
        <w:tc>
          <w:tcPr>
            <w:tcW w:type="dxa" w:w="5112"/>
            <w:vAlign w:val="center"/>
          </w:tcPr>
          <w:p>
            <w:r>
              <w:t>9/15/2026</w:t>
            </w:r>
          </w:p>
        </w:tc>
      </w:tr>
      <w:tr>
        <w:tc>
          <w:tcPr>
            <w:tcW w:type="dxa" w:w="5112"/>
            <w:vAlign w:val="center"/>
          </w:tcPr>
          <w:p>
            <w:r>
              <w:t>End Date</w:t>
            </w:r>
          </w:p>
        </w:tc>
        <w:tc>
          <w:tcPr>
            <w:tcW w:type="dxa" w:w="5112"/>
            <w:vAlign w:val="center"/>
          </w:tcPr>
          <w:p>
            <w:r>
              <w:t>3/15/2027</w:t>
            </w:r>
          </w:p>
        </w:tc>
      </w:tr>
      <w:tr>
        <w:tc>
          <w:tcPr>
            <w:tcW w:type="dxa" w:w="5112"/>
            <w:vAlign w:val="center"/>
          </w:tcPr>
          <w:p>
            <w:r>
              <w:t>Bill Rate</w:t>
            </w:r>
          </w:p>
        </w:tc>
        <w:tc>
          <w:tcPr>
            <w:tcW w:type="dxa" w:w="5112"/>
            <w:vAlign w:val="center"/>
          </w:tcPr>
          <w:p>
            <w:r>
              <w:t>$110/hr</w:t>
            </w:r>
          </w:p>
        </w:tc>
      </w:tr>
      <w:tr>
        <w:tc>
          <w:tcPr>
            <w:tcW w:type="dxa" w:w="5112"/>
            <w:vAlign w:val="center"/>
          </w:tcPr>
          <w:p>
            <w:r>
              <w:t>Pay Rate</w:t>
            </w:r>
          </w:p>
        </w:tc>
        <w:tc>
          <w:tcPr>
            <w:tcW w:type="dxa" w:w="5112"/>
            <w:vAlign w:val="center"/>
          </w:tcPr>
          <w:p>
            <w:r>
              <w:t>$65/hr</w:t>
            </w:r>
          </w:p>
        </w:tc>
      </w:tr>
      <w:tr>
        <w:tc>
          <w:tcPr>
            <w:tcW w:type="dxa" w:w="5112"/>
            <w:vAlign w:val="center"/>
          </w:tcPr>
          <w:p>
            <w:r>
              <w:t>Billing Type</w:t>
            </w:r>
          </w:p>
        </w:tc>
        <w:tc>
          <w:tcPr>
            <w:tcW w:type="dxa" w:w="5112"/>
            <w:vAlign w:val="center"/>
          </w:tcPr>
          <w:p>
            <w:r>
              <w:t>Hourly</w:t>
            </w:r>
          </w:p>
        </w:tc>
      </w:tr>
      <w:tr>
        <w:tc>
          <w:tcPr>
            <w:tcW w:type="dxa" w:w="5112"/>
            <w:vAlign w:val="center"/>
          </w:tcPr>
          <w:p>
            <w:r>
              <w:t>Timesheet Required</w:t>
            </w:r>
          </w:p>
        </w:tc>
        <w:tc>
          <w:tcPr>
            <w:tcW w:type="dxa" w:w="5112"/>
            <w:vAlign w:val="center"/>
          </w:tcPr>
          <w:p>
            <w:r>
              <w:t>Yes</w:t>
            </w:r>
          </w:p>
        </w:tc>
      </w:tr>
      <w:tr>
        <w:tc>
          <w:tcPr>
            <w:tcW w:type="dxa" w:w="5112"/>
            <w:vAlign w:val="center"/>
          </w:tcPr>
          <w:p>
            <w:r>
              <w:t>Approval Required</w:t>
            </w:r>
          </w:p>
        </w:tc>
        <w:tc>
          <w:tcPr>
            <w:tcW w:type="dxa" w:w="5112"/>
            <w:vAlign w:val="center"/>
          </w:tcPr>
          <w:p>
            <w:r>
              <w:t>Yes</w:t>
            </w:r>
          </w:p>
        </w:tc>
      </w:tr>
      <w:tr>
        <w:tc>
          <w:tcPr>
            <w:tcW w:type="dxa" w:w="5112"/>
            <w:vAlign w:val="center"/>
          </w:tcPr>
          <w:p>
            <w:r>
              <w:t>Approver</w:t>
            </w:r>
          </w:p>
        </w:tc>
        <w:tc>
          <w:tcPr>
            <w:tcW w:type="dxa" w:w="5112"/>
            <w:vAlign w:val="center"/>
          </w:tcPr>
          <w:p>
            <w:r>
              <w:t>Sony Manager</w:t>
            </w:r>
          </w:p>
        </w:tc>
      </w:tr>
      <w:tr>
        <w:tc>
          <w:tcPr>
            <w:tcW w:type="dxa" w:w="5112"/>
            <w:vAlign w:val="center"/>
          </w:tcPr>
          <w:p>
            <w:r>
              <w:t>Billing Entity</w:t>
            </w:r>
          </w:p>
        </w:tc>
        <w:tc>
          <w:tcPr>
            <w:tcW w:type="dxa" w:w="5112"/>
            <w:vAlign w:val="center"/>
          </w:tcPr>
          <w:p>
            <w:r>
              <w:t>Eniac Inc.</w:t>
            </w:r>
          </w:p>
        </w:tc>
      </w:tr>
    </w:tbl>
    <w:p/>
    <w:p>
      <w:r>
        <w:t>Example: if John Smith works for Sony at $110/hour and later works for another client at $125/hour, do not overwrite the employee's master record. Create a second Assignment.</w:t>
      </w:r>
    </w:p>
    <w:p>
      <w:pPr>
        <w:pStyle w:val="Heading1"/>
      </w:pPr>
      <w:r>
        <w:t>4. Timesheet Module</w:t>
      </w:r>
    </w:p>
    <w:p>
      <w:r>
        <w:t>Timesheets should link to the Assignment rather than relying only on the employee. The system can then automatically determine the client, project, PO/SOW, bill rate, pay rate, and billing rules.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Pr>
                <w:b/>
              </w:rPr>
              <w:t>Timesheet ID</w:t>
            </w:r>
          </w:p>
        </w:tc>
        <w:tc>
          <w:tcPr>
            <w:tcW w:type="dxa" w:w="1461"/>
            <w:vAlign w:val="center"/>
          </w:tcPr>
          <w:p>
            <w:r>
              <w:rPr>
                <w:b/>
              </w:rPr>
              <w:t>Employee</w:t>
            </w:r>
          </w:p>
        </w:tc>
        <w:tc>
          <w:tcPr>
            <w:tcW w:type="dxa" w:w="1461"/>
            <w:vAlign w:val="center"/>
          </w:tcPr>
          <w:p>
            <w:r>
              <w:rPr>
                <w:b/>
              </w:rPr>
              <w:t>Assignment</w:t>
            </w:r>
          </w:p>
        </w:tc>
        <w:tc>
          <w:tcPr>
            <w:tcW w:type="dxa" w:w="1461"/>
            <w:vAlign w:val="center"/>
          </w:tcPr>
          <w:p>
            <w:r>
              <w:rPr>
                <w:b/>
              </w:rPr>
              <w:t>Client</w:t>
            </w:r>
          </w:p>
        </w:tc>
        <w:tc>
          <w:tcPr>
            <w:tcW w:type="dxa" w:w="1461"/>
            <w:vAlign w:val="center"/>
          </w:tcPr>
          <w:p>
            <w:r>
              <w:rPr>
                <w:b/>
              </w:rPr>
              <w:t>Month</w:t>
            </w:r>
          </w:p>
        </w:tc>
        <w:tc>
          <w:tcPr>
            <w:tcW w:type="dxa" w:w="1461"/>
            <w:vAlign w:val="center"/>
          </w:tcPr>
          <w:p>
            <w:r>
              <w:rPr>
                <w:b/>
              </w:rPr>
              <w:t>Hours</w:t>
            </w:r>
          </w:p>
        </w:tc>
        <w:tc>
          <w:tcPr>
            <w:tcW w:type="dxa" w:w="1461"/>
            <w:vAlign w:val="center"/>
          </w:tcPr>
          <w:p>
            <w:r>
              <w:rPr>
                <w:b/>
              </w:rPr>
              <w:t>Status</w:t>
            </w:r>
          </w:p>
        </w:tc>
      </w:tr>
      <w:tr>
        <w:tc>
          <w:tcPr>
            <w:tcW w:type="dxa" w:w="1461"/>
            <w:vAlign w:val="center"/>
          </w:tcPr>
          <w:p>
            <w:r>
              <w:t>TS-1001</w:t>
            </w:r>
          </w:p>
        </w:tc>
        <w:tc>
          <w:tcPr>
            <w:tcW w:type="dxa" w:w="1461"/>
            <w:vAlign w:val="center"/>
          </w:tcPr>
          <w:p>
            <w:r>
              <w:t>E000123</w:t>
            </w:r>
          </w:p>
        </w:tc>
        <w:tc>
          <w:tcPr>
            <w:tcW w:type="dxa" w:w="1461"/>
            <w:vAlign w:val="center"/>
          </w:tcPr>
          <w:p>
            <w:r>
              <w:t>ASG-00125</w:t>
            </w:r>
          </w:p>
        </w:tc>
        <w:tc>
          <w:tcPr>
            <w:tcW w:type="dxa" w:w="1461"/>
            <w:vAlign w:val="center"/>
          </w:tcPr>
          <w:p>
            <w:r>
              <w:t>Sony</w:t>
            </w:r>
          </w:p>
        </w:tc>
        <w:tc>
          <w:tcPr>
            <w:tcW w:type="dxa" w:w="1461"/>
            <w:vAlign w:val="center"/>
          </w:tcPr>
          <w:p>
            <w:r>
              <w:t>Sep</w:t>
            </w:r>
          </w:p>
        </w:tc>
        <w:tc>
          <w:tcPr>
            <w:tcW w:type="dxa" w:w="1461"/>
            <w:vAlign w:val="center"/>
          </w:tcPr>
          <w:p>
            <w:r>
              <w:t>168</w:t>
            </w:r>
          </w:p>
        </w:tc>
        <w:tc>
          <w:tcPr>
            <w:tcW w:type="dxa" w:w="1461"/>
            <w:vAlign w:val="center"/>
          </w:tcPr>
          <w:p>
            <w:r>
              <w:t>Approved</w:t>
            </w:r>
          </w:p>
        </w:tc>
      </w:tr>
      <w:tr>
        <w:tc>
          <w:tcPr>
            <w:tcW w:type="dxa" w:w="1461"/>
            <w:vAlign w:val="center"/>
          </w:tcPr>
          <w:p>
            <w:r>
              <w:t>TS-1002</w:t>
            </w:r>
          </w:p>
        </w:tc>
        <w:tc>
          <w:tcPr>
            <w:tcW w:type="dxa" w:w="1461"/>
            <w:vAlign w:val="center"/>
          </w:tcPr>
          <w:p>
            <w:r>
              <w:t>E000123</w:t>
            </w:r>
          </w:p>
        </w:tc>
        <w:tc>
          <w:tcPr>
            <w:tcW w:type="dxa" w:w="1461"/>
            <w:vAlign w:val="center"/>
          </w:tcPr>
          <w:p>
            <w:r>
              <w:t>ASG-00125</w:t>
            </w:r>
          </w:p>
        </w:tc>
        <w:tc>
          <w:tcPr>
            <w:tcW w:type="dxa" w:w="1461"/>
            <w:vAlign w:val="center"/>
          </w:tcPr>
          <w:p>
            <w:r>
              <w:t>Sony</w:t>
            </w:r>
          </w:p>
        </w:tc>
        <w:tc>
          <w:tcPr>
            <w:tcW w:type="dxa" w:w="1461"/>
            <w:vAlign w:val="center"/>
          </w:tcPr>
          <w:p>
            <w:r>
              <w:t>Oct</w:t>
            </w:r>
          </w:p>
        </w:tc>
        <w:tc>
          <w:tcPr>
            <w:tcW w:type="dxa" w:w="1461"/>
            <w:vAlign w:val="center"/>
          </w:tcPr>
          <w:p>
            <w:r>
              <w:t>176</w:t>
            </w:r>
          </w:p>
        </w:tc>
        <w:tc>
          <w:tcPr>
            <w:tcW w:type="dxa" w:w="1461"/>
            <w:vAlign w:val="center"/>
          </w:tcPr>
          <w:p>
            <w:r>
              <w:t>Approved</w:t>
            </w:r>
          </w:p>
        </w:tc>
      </w:tr>
    </w:tbl>
    <w:p/>
    <w:p>
      <w:r>
        <w:t>Typical timesheet flow:</w:t>
      </w:r>
    </w:p>
    <w:p>
      <w:pPr>
        <w:pStyle w:val="ListBullet"/>
      </w:pPr>
      <w:r>
        <w:t>Employee enters timesheet</w:t>
      </w:r>
    </w:p>
    <w:p>
      <w:pPr>
        <w:pStyle w:val="ListBullet"/>
      </w:pPr>
      <w:r>
        <w:t>Submitted</w:t>
      </w:r>
    </w:p>
    <w:p>
      <w:pPr>
        <w:pStyle w:val="ListBullet"/>
      </w:pPr>
      <w:r>
        <w:t>Client Manager Review</w:t>
      </w:r>
    </w:p>
    <w:p>
      <w:pPr>
        <w:pStyle w:val="ListBullet"/>
      </w:pPr>
      <w:r>
        <w:t>Approved</w:t>
      </w:r>
    </w:p>
    <w:p>
      <w:pPr>
        <w:pStyle w:val="ListBullet"/>
      </w:pPr>
      <w:r>
        <w:t>Billing Eligible</w:t>
      </w:r>
    </w:p>
    <w:p>
      <w:r>
        <w:t>Recommended statuses: Draft → Submitted → Rejected → Resubmitted → Approved → Locked. Once approved, the timesheet should normally be locked. Corrections should use an adjustment process with an audit trail.</w:t>
      </w:r>
    </w:p>
    <w:p>
      <w:pPr>
        <w:pStyle w:val="Heading1"/>
      </w:pPr>
      <w:r>
        <w:t>5. Invoice Module</w:t>
      </w:r>
    </w:p>
    <w:p>
      <w:r>
        <w:t>Invoices should be generated from approved timesheets. The invoice engine should pull the client, Assignment, PO/SOW, resource, approved hours, bill rate, billing period, and eligible expenses.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Resource</w:t>
            </w:r>
          </w:p>
        </w:tc>
        <w:tc>
          <w:tcPr>
            <w:tcW w:type="dxa" w:w="2556"/>
            <w:vAlign w:val="center"/>
          </w:tcPr>
          <w:p>
            <w:r>
              <w:rPr>
                <w:b/>
              </w:rPr>
              <w:t>Hours</w:t>
            </w:r>
          </w:p>
        </w:tc>
        <w:tc>
          <w:tcPr>
            <w:tcW w:type="dxa" w:w="2556"/>
            <w:vAlign w:val="center"/>
          </w:tcPr>
          <w:p>
            <w:r>
              <w:rPr>
                <w:b/>
              </w:rPr>
              <w:t>Rate</w:t>
            </w:r>
          </w:p>
        </w:tc>
        <w:tc>
          <w:tcPr>
            <w:tcW w:type="dxa" w:w="2556"/>
            <w:vAlign w:val="center"/>
          </w:tcPr>
          <w:p>
            <w:r>
              <w:rPr>
                <w:b/>
              </w:rPr>
              <w:t>Amount</w:t>
            </w:r>
          </w:p>
        </w:tc>
      </w:tr>
      <w:tr>
        <w:tc>
          <w:tcPr>
            <w:tcW w:type="dxa" w:w="2556"/>
            <w:vAlign w:val="center"/>
          </w:tcPr>
          <w:p>
            <w:r>
              <w:t>John Smith</w:t>
            </w:r>
          </w:p>
        </w:tc>
        <w:tc>
          <w:tcPr>
            <w:tcW w:type="dxa" w:w="2556"/>
            <w:vAlign w:val="center"/>
          </w:tcPr>
          <w:p>
            <w:r>
              <w:t>168</w:t>
            </w:r>
          </w:p>
        </w:tc>
        <w:tc>
          <w:tcPr>
            <w:tcW w:type="dxa" w:w="2556"/>
            <w:vAlign w:val="center"/>
          </w:tcPr>
          <w:p>
            <w:r>
              <w:t>$110</w:t>
            </w:r>
          </w:p>
        </w:tc>
        <w:tc>
          <w:tcPr>
            <w:tcW w:type="dxa" w:w="2556"/>
            <w:vAlign w:val="center"/>
          </w:tcPr>
          <w:p>
            <w:r>
              <w:t>$18,480</w:t>
            </w:r>
          </w:p>
        </w:tc>
      </w:tr>
      <w:tr>
        <w:tc>
          <w:tcPr>
            <w:tcW w:type="dxa" w:w="2556"/>
            <w:vAlign w:val="center"/>
          </w:tcPr>
          <w:p>
            <w:r>
              <w:t>Jane Doe</w:t>
            </w:r>
          </w:p>
        </w:tc>
        <w:tc>
          <w:tcPr>
            <w:tcW w:type="dxa" w:w="2556"/>
            <w:vAlign w:val="center"/>
          </w:tcPr>
          <w:p>
            <w:r>
              <w:t>160</w:t>
            </w:r>
          </w:p>
        </w:tc>
        <w:tc>
          <w:tcPr>
            <w:tcW w:type="dxa" w:w="2556"/>
            <w:vAlign w:val="center"/>
          </w:tcPr>
          <w:p>
            <w:r>
              <w:t>$120</w:t>
            </w:r>
          </w:p>
        </w:tc>
        <w:tc>
          <w:tcPr>
            <w:tcW w:type="dxa" w:w="2556"/>
            <w:vAlign w:val="center"/>
          </w:tcPr>
          <w:p>
            <w:r>
              <w:t>$19,200</w:t>
            </w:r>
          </w:p>
        </w:tc>
      </w:tr>
      <w:tr>
        <w:tc>
          <w:tcPr>
            <w:tcW w:type="dxa" w:w="2556"/>
            <w:vAlign w:val="center"/>
          </w:tcPr>
          <w:p>
            <w:r>
              <w:t>Total</w:t>
            </w:r>
          </w:p>
        </w:tc>
        <w:tc>
          <w:tcPr>
            <w:tcW w:type="dxa" w:w="2556"/>
            <w:vAlign w:val="center"/>
          </w:tcPr>
          <w:p>
            <w:r>
              <w:t>328</w:t>
            </w:r>
          </w:p>
        </w:tc>
        <w:tc>
          <w:tcPr>
            <w:tcW w:type="dxa" w:w="2556"/>
            <w:vAlign w:val="center"/>
          </w:tcPr>
          <w:p>
            <w:r/>
          </w:p>
        </w:tc>
        <w:tc>
          <w:tcPr>
            <w:tcW w:type="dxa" w:w="2556"/>
            <w:vAlign w:val="center"/>
          </w:tcPr>
          <w:p>
            <w:r>
              <w:t>$37,680</w:t>
            </w:r>
          </w:p>
        </w:tc>
      </w:tr>
    </w:tbl>
    <w:p/>
    <w:p>
      <w:r>
        <w:t>The invoice should retain references to the underlying approved timesheets so every billed amount can be traced back to source records.</w:t>
      </w:r>
    </w:p>
    <w:p>
      <w:pPr>
        <w:pStyle w:val="Heading1"/>
      </w:pPr>
      <w:r>
        <w:t>6. Payroll / Vendor Payment</w:t>
      </w:r>
    </w:p>
    <w:p>
      <w:r>
        <w:t>The same approved timesheet can feed a separate payroll or vendor-payment process. Billing and payment are two different financial outputs from the same operational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Calculation</w:t>
            </w:r>
          </w:p>
        </w:tc>
        <w:tc>
          <w:tcPr>
            <w:tcW w:type="dxa" w:w="5112"/>
            <w:vAlign w:val="center"/>
          </w:tcPr>
          <w:p>
            <w:r>
              <w:rPr>
                <w:b/>
              </w:rPr>
              <w:t>Example</w:t>
            </w:r>
          </w:p>
        </w:tc>
      </w:tr>
      <w:tr>
        <w:tc>
          <w:tcPr>
            <w:tcW w:type="dxa" w:w="5112"/>
            <w:vAlign w:val="center"/>
          </w:tcPr>
          <w:p>
            <w:r>
              <w:t>Approved hours</w:t>
            </w:r>
          </w:p>
        </w:tc>
        <w:tc>
          <w:tcPr>
            <w:tcW w:type="dxa" w:w="5112"/>
            <w:vAlign w:val="center"/>
          </w:tcPr>
          <w:p>
            <w:r>
              <w:t>168</w:t>
            </w:r>
          </w:p>
        </w:tc>
      </w:tr>
      <w:tr>
        <w:tc>
          <w:tcPr>
            <w:tcW w:type="dxa" w:w="5112"/>
            <w:vAlign w:val="center"/>
          </w:tcPr>
          <w:p>
            <w:r>
              <w:t>Client bill rate</w:t>
            </w:r>
          </w:p>
        </w:tc>
        <w:tc>
          <w:tcPr>
            <w:tcW w:type="dxa" w:w="5112"/>
            <w:vAlign w:val="center"/>
          </w:tcPr>
          <w:p>
            <w:r>
              <w:t>$110/hr</w:t>
            </w:r>
          </w:p>
        </w:tc>
      </w:tr>
      <w:tr>
        <w:tc>
          <w:tcPr>
            <w:tcW w:type="dxa" w:w="5112"/>
            <w:vAlign w:val="center"/>
          </w:tcPr>
          <w:p>
            <w:r>
              <w:t>Client billing</w:t>
            </w:r>
          </w:p>
        </w:tc>
        <w:tc>
          <w:tcPr>
            <w:tcW w:type="dxa" w:w="5112"/>
            <w:vAlign w:val="center"/>
          </w:tcPr>
          <w:p>
            <w:r>
              <w:t>$18,480</w:t>
            </w:r>
          </w:p>
        </w:tc>
      </w:tr>
      <w:tr>
        <w:tc>
          <w:tcPr>
            <w:tcW w:type="dxa" w:w="5112"/>
            <w:vAlign w:val="center"/>
          </w:tcPr>
          <w:p>
            <w:r>
              <w:t>Resource pay rate</w:t>
            </w:r>
          </w:p>
        </w:tc>
        <w:tc>
          <w:tcPr>
            <w:tcW w:type="dxa" w:w="5112"/>
            <w:vAlign w:val="center"/>
          </w:tcPr>
          <w:p>
            <w:r>
              <w:t>$65/hr</w:t>
            </w:r>
          </w:p>
        </w:tc>
      </w:tr>
      <w:tr>
        <w:tc>
          <w:tcPr>
            <w:tcW w:type="dxa" w:w="5112"/>
            <w:vAlign w:val="center"/>
          </w:tcPr>
          <w:p>
            <w:r>
              <w:t>Gross wages / vendor cost</w:t>
            </w:r>
          </w:p>
        </w:tc>
        <w:tc>
          <w:tcPr>
            <w:tcW w:type="dxa" w:w="5112"/>
            <w:vAlign w:val="center"/>
          </w:tcPr>
          <w:p>
            <w:r>
              <w:t>$10,920</w:t>
            </w:r>
          </w:p>
        </w:tc>
      </w:tr>
      <w:tr>
        <w:tc>
          <w:tcPr>
            <w:tcW w:type="dxa" w:w="5112"/>
            <w:vAlign w:val="center"/>
          </w:tcPr>
          <w:p>
            <w:r>
              <w:t>Gross margin</w:t>
            </w:r>
          </w:p>
        </w:tc>
        <w:tc>
          <w:tcPr>
            <w:tcW w:type="dxa" w:w="5112"/>
            <w:vAlign w:val="center"/>
          </w:tcPr>
          <w:p>
            <w:r>
              <w:t>$7,560</w:t>
            </w:r>
          </w:p>
        </w:tc>
      </w:tr>
      <w:tr>
        <w:tc>
          <w:tcPr>
            <w:tcW w:type="dxa" w:w="5112"/>
            <w:vAlign w:val="center"/>
          </w:tcPr>
          <w:p>
            <w:r>
              <w:t>Gross margin %</w:t>
            </w:r>
          </w:p>
        </w:tc>
        <w:tc>
          <w:tcPr>
            <w:tcW w:type="dxa" w:w="5112"/>
            <w:vAlign w:val="center"/>
          </w:tcPr>
          <w:p>
            <w:r>
              <w:t>40.9%</w:t>
            </w:r>
          </w:p>
        </w:tc>
      </w:tr>
    </w:tbl>
    <w:p/>
    <w:p>
      <w:pPr>
        <w:pStyle w:val="Heading1"/>
      </w:pPr>
      <w:r>
        <w:t>7. Recommended Database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Table</w:t>
            </w:r>
          </w:p>
        </w:tc>
        <w:tc>
          <w:tcPr>
            <w:tcW w:type="dxa" w:w="5112"/>
            <w:vAlign w:val="center"/>
          </w:tcPr>
          <w:p>
            <w:r>
              <w:rPr>
                <w:b/>
              </w:rPr>
              <w:t>Key Fields / Purpose</w:t>
            </w:r>
          </w:p>
        </w:tc>
      </w:tr>
      <w:tr>
        <w:tc>
          <w:tcPr>
            <w:tcW w:type="dxa" w:w="5112"/>
            <w:vAlign w:val="center"/>
          </w:tcPr>
          <w:p>
            <w:r>
              <w:t>RESOURCE</w:t>
            </w:r>
          </w:p>
        </w:tc>
        <w:tc>
          <w:tcPr>
            <w:tcW w:type="dxa" w:w="5112"/>
            <w:vAlign w:val="center"/>
          </w:tcPr>
          <w:p>
            <w:r>
              <w:t>ResourceID PK, Name, Email, ResourceType, HireDate, Status, PayType, DefaultPayRate</w:t>
            </w:r>
          </w:p>
        </w:tc>
      </w:tr>
      <w:tr>
        <w:tc>
          <w:tcPr>
            <w:tcW w:type="dxa" w:w="5112"/>
            <w:vAlign w:val="center"/>
          </w:tcPr>
          <w:p>
            <w:r>
              <w:t>CLIENT</w:t>
            </w:r>
          </w:p>
        </w:tc>
        <w:tc>
          <w:tcPr>
            <w:tcW w:type="dxa" w:w="5112"/>
            <w:vAlign w:val="center"/>
          </w:tcPr>
          <w:p>
            <w:r>
              <w:t>ClientID PK, ClientName, BillingAddress, PaymentTerms</w:t>
            </w:r>
          </w:p>
        </w:tc>
      </w:tr>
      <w:tr>
        <w:tc>
          <w:tcPr>
            <w:tcW w:type="dxa" w:w="5112"/>
            <w:vAlign w:val="center"/>
          </w:tcPr>
          <w:p>
            <w:r>
              <w:t>PROJECT</w:t>
            </w:r>
          </w:p>
        </w:tc>
        <w:tc>
          <w:tcPr>
            <w:tcW w:type="dxa" w:w="5112"/>
            <w:vAlign w:val="center"/>
          </w:tcPr>
          <w:p>
            <w:r>
              <w:t>ProjectID PK, ClientID FK, ProjectName</w:t>
            </w:r>
          </w:p>
        </w:tc>
      </w:tr>
      <w:tr>
        <w:tc>
          <w:tcPr>
            <w:tcW w:type="dxa" w:w="5112"/>
            <w:vAlign w:val="center"/>
          </w:tcPr>
          <w:p>
            <w:r>
              <w:t>ASSIGNMENT</w:t>
            </w:r>
          </w:p>
        </w:tc>
        <w:tc>
          <w:tcPr>
            <w:tcW w:type="dxa" w:w="5112"/>
            <w:vAlign w:val="center"/>
          </w:tcPr>
          <w:p>
            <w:r>
              <w:t>AssignmentID PK, ResourceID FK, ClientID FK, ProjectID FK, PO/SOW, dates, BillRate, PayRate, BillingType, Status</w:t>
            </w:r>
          </w:p>
        </w:tc>
      </w:tr>
      <w:tr>
        <w:tc>
          <w:tcPr>
            <w:tcW w:type="dxa" w:w="5112"/>
            <w:vAlign w:val="center"/>
          </w:tcPr>
          <w:p>
            <w:r>
              <w:t>TIMESHEET</w:t>
            </w:r>
          </w:p>
        </w:tc>
        <w:tc>
          <w:tcPr>
            <w:tcW w:type="dxa" w:w="5112"/>
            <w:vAlign w:val="center"/>
          </w:tcPr>
          <w:p>
            <w:r>
              <w:t>TimesheetID PK, AssignmentID FK, ResourceID FK, PeriodStart, PeriodEnd, Status, SubmittedDate, ApprovedDate</w:t>
            </w:r>
          </w:p>
        </w:tc>
      </w:tr>
      <w:tr>
        <w:tc>
          <w:tcPr>
            <w:tcW w:type="dxa" w:w="5112"/>
            <w:vAlign w:val="center"/>
          </w:tcPr>
          <w:p>
            <w:r>
              <w:t>TIMESHEET_LINE</w:t>
            </w:r>
          </w:p>
        </w:tc>
        <w:tc>
          <w:tcPr>
            <w:tcW w:type="dxa" w:w="5112"/>
            <w:vAlign w:val="center"/>
          </w:tcPr>
          <w:p>
            <w:r>
              <w:t>TimesheetLineID PK, TimesheetID FK, WorkDate, RegularHours, OvertimeHours, HolidayHours</w:t>
            </w:r>
          </w:p>
        </w:tc>
      </w:tr>
      <w:tr>
        <w:tc>
          <w:tcPr>
            <w:tcW w:type="dxa" w:w="5112"/>
            <w:vAlign w:val="center"/>
          </w:tcPr>
          <w:p>
            <w:r>
              <w:t>INVOICE</w:t>
            </w:r>
          </w:p>
        </w:tc>
        <w:tc>
          <w:tcPr>
            <w:tcW w:type="dxa" w:w="5112"/>
            <w:vAlign w:val="center"/>
          </w:tcPr>
          <w:p>
            <w:r>
              <w:t>InvoiceID PK, ClientID FK, InvoiceDate, billing period, Status, TotalAmount</w:t>
            </w:r>
          </w:p>
        </w:tc>
      </w:tr>
      <w:tr>
        <w:tc>
          <w:tcPr>
            <w:tcW w:type="dxa" w:w="5112"/>
            <w:vAlign w:val="center"/>
          </w:tcPr>
          <w:p>
            <w:r>
              <w:t>INVOICE_LINE</w:t>
            </w:r>
          </w:p>
        </w:tc>
        <w:tc>
          <w:tcPr>
            <w:tcW w:type="dxa" w:w="5112"/>
            <w:vAlign w:val="center"/>
          </w:tcPr>
          <w:p>
            <w:r>
              <w:t>InvoiceLineID PK, InvoiceID FK, AssignmentID FK, TimesheetID FK, ResourceID FK, Hours, BillRate, Amount</w:t>
            </w:r>
          </w:p>
        </w:tc>
      </w:tr>
    </w:tbl>
    <w:p/>
    <w:p>
      <w:pPr>
        <w:pStyle w:val="Heading1"/>
      </w:pPr>
      <w:r>
        <w:t>8. Core Relationships</w:t>
      </w:r>
    </w:p>
    <w:p>
      <w:r>
        <w:t>Recommended relationship model:</w:t>
      </w:r>
    </w:p>
    <w:p>
      <w:r>
        <w:t>RESOURCE</w:t>
        <w:br/>
        <w:t xml:space="preserve">  │ 1:M</w:t>
        <w:br/>
        <w:t xml:space="preserve">  ▼</w:t>
        <w:br/>
        <w:t>ASSIGNMENT</w:t>
        <w:br/>
        <w:t xml:space="preserve">  ├── Client</w:t>
        <w:br/>
        <w:t xml:space="preserve">  ├── Project</w:t>
        <w:br/>
        <w:t xml:space="preserve">  ├── PO/SOW</w:t>
        <w:br/>
        <w:t xml:space="preserve">  └── 1:M → TIMESHEET → Approved → INVOICE</w:t>
      </w:r>
    </w:p>
    <w:p>
      <w:r>
        <w:t>Separately:</w:t>
        <w:br/>
        <w:t>ASSIGNMENT → Bill Rate → Invoice</w:t>
        <w:br/>
        <w:t>ASSIGNMENT → Pay Rate → Payroll / Vendor Payment</w:t>
      </w:r>
    </w:p>
    <w:p>
      <w:pPr>
        <w:pStyle w:val="Heading1"/>
      </w:pPr>
      <w:r>
        <w:t>9. Use 'Resource' Instead of 'Employee'</w:t>
      </w:r>
    </w:p>
    <w:p>
      <w:r>
        <w:t>For Eniac, the master entity should preferably be called Resource rather than Employee because the business can have W2 employees, C2C contractors, and offshore employees. All can use the same operational workflow while their payment and compliance processing differs.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Resource</w:t>
            </w:r>
          </w:p>
        </w:tc>
        <w:tc>
          <w:tcPr>
            <w:tcW w:type="dxa" w:w="3408"/>
            <w:vAlign w:val="center"/>
          </w:tcPr>
          <w:p>
            <w:r>
              <w:rPr>
                <w:b/>
              </w:rPr>
              <w:t>Resource Type</w:t>
            </w:r>
          </w:p>
        </w:tc>
        <w:tc>
          <w:tcPr>
            <w:tcW w:type="dxa" w:w="3408"/>
            <w:vAlign w:val="center"/>
          </w:tcPr>
          <w:p>
            <w:r>
              <w:rPr>
                <w:b/>
              </w:rPr>
              <w:t>Example Assignment</w:t>
            </w:r>
          </w:p>
        </w:tc>
      </w:tr>
      <w:tr>
        <w:tc>
          <w:tcPr>
            <w:tcW w:type="dxa" w:w="3408"/>
            <w:vAlign w:val="center"/>
          </w:tcPr>
          <w:p>
            <w:r>
              <w:t>R0001 – John Smith</w:t>
            </w:r>
          </w:p>
        </w:tc>
        <w:tc>
          <w:tcPr>
            <w:tcW w:type="dxa" w:w="3408"/>
            <w:vAlign w:val="center"/>
          </w:tcPr>
          <w:p>
            <w:r>
              <w:t>W2 Employee</w:t>
            </w:r>
          </w:p>
        </w:tc>
        <w:tc>
          <w:tcPr>
            <w:tcW w:type="dxa" w:w="3408"/>
            <w:vAlign w:val="center"/>
          </w:tcPr>
          <w:p>
            <w:r>
              <w:t>Sony / Project A</w:t>
            </w:r>
          </w:p>
        </w:tc>
      </w:tr>
      <w:tr>
        <w:tc>
          <w:tcPr>
            <w:tcW w:type="dxa" w:w="3408"/>
            <w:vAlign w:val="center"/>
          </w:tcPr>
          <w:p>
            <w:r>
              <w:t>R0002 – Ranjana Kaur</w:t>
            </w:r>
          </w:p>
        </w:tc>
        <w:tc>
          <w:tcPr>
            <w:tcW w:type="dxa" w:w="3408"/>
            <w:vAlign w:val="center"/>
          </w:tcPr>
          <w:p>
            <w:r>
              <w:t>C2C Contractor</w:t>
            </w:r>
          </w:p>
        </w:tc>
        <w:tc>
          <w:tcPr>
            <w:tcW w:type="dxa" w:w="3408"/>
            <w:vAlign w:val="center"/>
          </w:tcPr>
          <w:p>
            <w:r>
              <w:t>Sony / Project B</w:t>
            </w:r>
          </w:p>
        </w:tc>
      </w:tr>
      <w:tr>
        <w:tc>
          <w:tcPr>
            <w:tcW w:type="dxa" w:w="3408"/>
            <w:vAlign w:val="center"/>
          </w:tcPr>
          <w:p>
            <w:r>
              <w:t>R0003 – Ravi Kumar</w:t>
            </w:r>
          </w:p>
        </w:tc>
        <w:tc>
          <w:tcPr>
            <w:tcW w:type="dxa" w:w="3408"/>
            <w:vAlign w:val="center"/>
          </w:tcPr>
          <w:p>
            <w:r>
              <w:t>India Employee</w:t>
            </w:r>
          </w:p>
        </w:tc>
        <w:tc>
          <w:tcPr>
            <w:tcW w:type="dxa" w:w="3408"/>
            <w:vAlign w:val="center"/>
          </w:tcPr>
          <w:p>
            <w:r>
              <w:t>Sony / Project C</w:t>
            </w:r>
          </w:p>
        </w:tc>
      </w:tr>
    </w:tbl>
    <w:p/>
    <w:p>
      <w:pPr>
        <w:pStyle w:val="Heading1"/>
      </w:pPr>
      <w:r>
        <w:t>10. Recommended Eniac End-to-End Workflow</w:t>
      </w:r>
    </w:p>
    <w:p>
      <w:r>
        <w:t>1. Client</w:t>
        <w:br/>
        <w:t>↓</w:t>
        <w:br/>
        <w:t>2. PO/SOW</w:t>
        <w:br/>
        <w:t>↓</w:t>
        <w:br/>
        <w:t>3. Resource</w:t>
        <w:br/>
        <w:t>↓</w:t>
        <w:br/>
        <w:t>4. Assignment</w:t>
        <w:br/>
        <w:t>↓</w:t>
        <w:br/>
        <w:t>5. Onboarding</w:t>
        <w:br/>
        <w:t>↓</w:t>
        <w:br/>
        <w:t>6. Timesheet</w:t>
        <w:br/>
        <w:t>↓</w:t>
        <w:br/>
        <w:t>7. Client Approval</w:t>
        <w:br/>
        <w:t>↓</w:t>
        <w:br/>
        <w:t>8. Invoice</w:t>
        <w:br/>
        <w:t>↓</w:t>
        <w:br/>
        <w:t>9. Payroll / Vendor Payment</w:t>
        <w:br/>
        <w:t>↓</w:t>
        <w:br/>
        <w:t>10. Margin / Profitability</w:t>
      </w:r>
    </w:p>
    <w:p>
      <w:pPr>
        <w:pStyle w:val="Heading1"/>
      </w:pPr>
      <w:r>
        <w:t>11. Key Design Principle</w:t>
      </w:r>
    </w:p>
    <w:p>
      <w:r>
        <w:t>The Assignment should be the central linking object. This prevents the system from becoming difficult to maintain when a person changes clients, projects, rates, dates, or employment types.</w:t>
      </w:r>
    </w:p>
    <w:p>
      <w:r>
        <w:t>A well-designed Assignment allows Eniac to add automatic invoice generation, payroll calculations, gross-margin tracking, PO balance tracking, resource profitability, and reporting later without redesigning the core data model.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Eniac Staffing System – Onboarding, Timesheet &amp; Invoice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