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287DC" w14:textId="77777777" w:rsidR="00EF4F4E" w:rsidRDefault="00000000">
      <w:pPr>
        <w:spacing w:after="40"/>
        <w:jc w:val="center"/>
      </w:pPr>
      <w:r>
        <w:rPr>
          <w:b/>
          <w:bCs/>
          <w:sz w:val="24"/>
          <w:szCs w:val="24"/>
        </w:rPr>
        <w:t>SIMATS ENGINEERING (SAVEETHA SCHOOL OF ENGINEERING)</w:t>
      </w:r>
    </w:p>
    <w:p w14:paraId="1822D63F" w14:textId="77777777" w:rsidR="00EF4F4E" w:rsidRDefault="00000000">
      <w:pPr>
        <w:spacing w:after="40"/>
        <w:jc w:val="center"/>
      </w:pPr>
      <w:r>
        <w:rPr>
          <w:b/>
          <w:bCs/>
        </w:rPr>
        <w:t>Department of Computer Science and Engineering</w:t>
      </w:r>
    </w:p>
    <w:p w14:paraId="0B81E1C4" w14:textId="77777777" w:rsidR="00EF4F4E" w:rsidRDefault="00000000">
      <w:pPr>
        <w:spacing w:after="240"/>
        <w:jc w:val="center"/>
      </w:pPr>
      <w:r>
        <w:rPr>
          <w:b/>
          <w:bCs/>
          <w:color w:val="1F4E79"/>
          <w:sz w:val="26"/>
          <w:szCs w:val="26"/>
        </w:rPr>
        <w:t>CO5 Assessment Tool 2 – Seminar Report: Natural Language Processing with Transformer Models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EF4F4E" w14:paraId="5CD3CDCB" w14:textId="77777777">
        <w:tblPrEx>
          <w:tblCellMar>
            <w:top w:w="0" w:type="dxa"/>
            <w:bottom w:w="0" w:type="dxa"/>
          </w:tblCellMar>
        </w:tblPrEx>
        <w:tc>
          <w:tcPr>
            <w:tcW w:w="3500" w:type="dxa"/>
            <w:shd w:val="clear" w:color="auto" w:fill="F2F2F2"/>
          </w:tcPr>
          <w:p w14:paraId="10BEDC7F" w14:textId="77777777" w:rsidR="00EF4F4E" w:rsidRDefault="00000000">
            <w:r>
              <w:rPr>
                <w:b/>
                <w:bCs/>
                <w:sz w:val="21"/>
                <w:szCs w:val="21"/>
              </w:rPr>
              <w:t>Course Code</w:t>
            </w:r>
          </w:p>
        </w:tc>
        <w:tc>
          <w:tcPr>
            <w:tcW w:w="6000" w:type="dxa"/>
          </w:tcPr>
          <w:p w14:paraId="051DA1C6" w14:textId="77777777" w:rsidR="00EF4F4E" w:rsidRDefault="00000000">
            <w:r>
              <w:rPr>
                <w:sz w:val="21"/>
                <w:szCs w:val="21"/>
              </w:rPr>
              <w:t>CSA10</w:t>
            </w:r>
          </w:p>
        </w:tc>
      </w:tr>
      <w:tr w:rsidR="00EF4F4E" w14:paraId="3118B218" w14:textId="77777777">
        <w:tblPrEx>
          <w:tblCellMar>
            <w:top w:w="0" w:type="dxa"/>
            <w:bottom w:w="0" w:type="dxa"/>
          </w:tblCellMar>
        </w:tblPrEx>
        <w:tc>
          <w:tcPr>
            <w:tcW w:w="3500" w:type="dxa"/>
            <w:shd w:val="clear" w:color="auto" w:fill="F2F2F2"/>
          </w:tcPr>
          <w:p w14:paraId="448ACCAC" w14:textId="77777777" w:rsidR="00EF4F4E" w:rsidRDefault="00000000">
            <w:r>
              <w:rPr>
                <w:b/>
                <w:bCs/>
                <w:sz w:val="21"/>
                <w:szCs w:val="21"/>
              </w:rPr>
              <w:t>Course Title</w:t>
            </w:r>
          </w:p>
        </w:tc>
        <w:tc>
          <w:tcPr>
            <w:tcW w:w="6000" w:type="dxa"/>
          </w:tcPr>
          <w:p w14:paraId="1BDAB9DA" w14:textId="77777777" w:rsidR="00EF4F4E" w:rsidRDefault="00000000">
            <w:r>
              <w:rPr>
                <w:sz w:val="21"/>
                <w:szCs w:val="21"/>
              </w:rPr>
              <w:t>Software Engineering</w:t>
            </w:r>
          </w:p>
        </w:tc>
      </w:tr>
      <w:tr w:rsidR="00EF4F4E" w14:paraId="00D1B049" w14:textId="77777777">
        <w:tblPrEx>
          <w:tblCellMar>
            <w:top w:w="0" w:type="dxa"/>
            <w:bottom w:w="0" w:type="dxa"/>
          </w:tblCellMar>
        </w:tblPrEx>
        <w:tc>
          <w:tcPr>
            <w:tcW w:w="3500" w:type="dxa"/>
            <w:shd w:val="clear" w:color="auto" w:fill="F2F2F2"/>
          </w:tcPr>
          <w:p w14:paraId="1B750AA7" w14:textId="77777777" w:rsidR="00EF4F4E" w:rsidRDefault="00000000">
            <w:r>
              <w:rPr>
                <w:b/>
                <w:bCs/>
                <w:sz w:val="21"/>
                <w:szCs w:val="21"/>
              </w:rPr>
              <w:t>CO Assessed</w:t>
            </w:r>
          </w:p>
        </w:tc>
        <w:tc>
          <w:tcPr>
            <w:tcW w:w="6000" w:type="dxa"/>
          </w:tcPr>
          <w:p w14:paraId="74266A87" w14:textId="77777777" w:rsidR="00EF4F4E" w:rsidRDefault="00000000">
            <w:r>
              <w:rPr>
                <w:sz w:val="21"/>
                <w:szCs w:val="21"/>
              </w:rPr>
              <w:t>CO5</w:t>
            </w:r>
          </w:p>
        </w:tc>
      </w:tr>
      <w:tr w:rsidR="00EF4F4E" w14:paraId="4706D209" w14:textId="77777777">
        <w:tblPrEx>
          <w:tblCellMar>
            <w:top w:w="0" w:type="dxa"/>
            <w:bottom w:w="0" w:type="dxa"/>
          </w:tblCellMar>
        </w:tblPrEx>
        <w:tc>
          <w:tcPr>
            <w:tcW w:w="3500" w:type="dxa"/>
            <w:shd w:val="clear" w:color="auto" w:fill="F2F2F2"/>
          </w:tcPr>
          <w:p w14:paraId="0764A216" w14:textId="77777777" w:rsidR="00EF4F4E" w:rsidRDefault="00000000">
            <w:r>
              <w:rPr>
                <w:b/>
                <w:bCs/>
                <w:sz w:val="21"/>
                <w:szCs w:val="21"/>
              </w:rPr>
              <w:t>Assessment</w:t>
            </w:r>
          </w:p>
        </w:tc>
        <w:tc>
          <w:tcPr>
            <w:tcW w:w="6000" w:type="dxa"/>
          </w:tcPr>
          <w:p w14:paraId="3AAAD6FF" w14:textId="77777777" w:rsidR="00EF4F4E" w:rsidRDefault="00000000">
            <w:r>
              <w:rPr>
                <w:sz w:val="21"/>
                <w:szCs w:val="21"/>
              </w:rPr>
              <w:t>Assessment Tool 2 – Seminar on Emerging Technologies</w:t>
            </w:r>
          </w:p>
        </w:tc>
      </w:tr>
      <w:tr w:rsidR="00EF4F4E" w14:paraId="04F8AAA3" w14:textId="77777777">
        <w:tblPrEx>
          <w:tblCellMar>
            <w:top w:w="0" w:type="dxa"/>
            <w:bottom w:w="0" w:type="dxa"/>
          </w:tblCellMar>
        </w:tblPrEx>
        <w:tc>
          <w:tcPr>
            <w:tcW w:w="3500" w:type="dxa"/>
            <w:shd w:val="clear" w:color="auto" w:fill="F2F2F2"/>
          </w:tcPr>
          <w:p w14:paraId="6BB479E2" w14:textId="77777777" w:rsidR="00EF4F4E" w:rsidRDefault="00000000">
            <w:r>
              <w:rPr>
                <w:b/>
                <w:bCs/>
                <w:sz w:val="21"/>
                <w:szCs w:val="21"/>
              </w:rPr>
              <w:t>Seminar Topic (</w:t>
            </w:r>
            <w:proofErr w:type="spellStart"/>
            <w:r>
              <w:rPr>
                <w:b/>
                <w:bCs/>
                <w:sz w:val="21"/>
                <w:szCs w:val="21"/>
              </w:rPr>
              <w:t>S.No</w:t>
            </w:r>
            <w:proofErr w:type="spellEnd"/>
            <w:r>
              <w:rPr>
                <w:b/>
                <w:bCs/>
                <w:sz w:val="21"/>
                <w:szCs w:val="21"/>
              </w:rPr>
              <w:t>. 9)</w:t>
            </w:r>
          </w:p>
        </w:tc>
        <w:tc>
          <w:tcPr>
            <w:tcW w:w="6000" w:type="dxa"/>
          </w:tcPr>
          <w:p w14:paraId="05B4D269" w14:textId="77777777" w:rsidR="00EF4F4E" w:rsidRDefault="00000000">
            <w:r>
              <w:rPr>
                <w:sz w:val="21"/>
                <w:szCs w:val="21"/>
              </w:rPr>
              <w:t>Natural Language Processing with Transformer Models</w:t>
            </w:r>
          </w:p>
        </w:tc>
      </w:tr>
      <w:tr w:rsidR="00EF4F4E" w14:paraId="1E7B6B28" w14:textId="77777777">
        <w:tblPrEx>
          <w:tblCellMar>
            <w:top w:w="0" w:type="dxa"/>
            <w:bottom w:w="0" w:type="dxa"/>
          </w:tblCellMar>
        </w:tblPrEx>
        <w:tc>
          <w:tcPr>
            <w:tcW w:w="3500" w:type="dxa"/>
            <w:shd w:val="clear" w:color="auto" w:fill="F2F2F2"/>
          </w:tcPr>
          <w:p w14:paraId="52B6F44C" w14:textId="77777777" w:rsidR="00EF4F4E" w:rsidRDefault="00000000">
            <w:r>
              <w:rPr>
                <w:b/>
                <w:bCs/>
                <w:sz w:val="21"/>
                <w:szCs w:val="21"/>
              </w:rPr>
              <w:t>Student Name</w:t>
            </w:r>
          </w:p>
        </w:tc>
        <w:tc>
          <w:tcPr>
            <w:tcW w:w="6000" w:type="dxa"/>
          </w:tcPr>
          <w:p w14:paraId="4FC6F395" w14:textId="2568B8F4" w:rsidR="00EF4F4E" w:rsidRDefault="00657886">
            <w:r>
              <w:t>Nikhil Kumar Reddy Kadiveti</w:t>
            </w:r>
          </w:p>
        </w:tc>
      </w:tr>
      <w:tr w:rsidR="00EF4F4E" w14:paraId="3A533A08" w14:textId="77777777">
        <w:tblPrEx>
          <w:tblCellMar>
            <w:top w:w="0" w:type="dxa"/>
            <w:bottom w:w="0" w:type="dxa"/>
          </w:tblCellMar>
        </w:tblPrEx>
        <w:tc>
          <w:tcPr>
            <w:tcW w:w="3500" w:type="dxa"/>
            <w:shd w:val="clear" w:color="auto" w:fill="F2F2F2"/>
          </w:tcPr>
          <w:p w14:paraId="7FCA90B4" w14:textId="77777777" w:rsidR="00EF4F4E" w:rsidRDefault="00000000">
            <w:r>
              <w:rPr>
                <w:b/>
                <w:bCs/>
                <w:sz w:val="21"/>
                <w:szCs w:val="21"/>
              </w:rPr>
              <w:t>Register Number</w:t>
            </w:r>
          </w:p>
        </w:tc>
        <w:tc>
          <w:tcPr>
            <w:tcW w:w="6000" w:type="dxa"/>
          </w:tcPr>
          <w:p w14:paraId="191E4BEB" w14:textId="6BB0457B" w:rsidR="00EF4F4E" w:rsidRDefault="00657886">
            <w:r>
              <w:t>192425031</w:t>
            </w:r>
          </w:p>
        </w:tc>
      </w:tr>
    </w:tbl>
    <w:p w14:paraId="4B657F90" w14:textId="77777777" w:rsidR="00EF4F4E" w:rsidRDefault="00EF4F4E">
      <w:pPr>
        <w:spacing w:after="200"/>
      </w:pPr>
    </w:p>
    <w:p w14:paraId="0FDB82B2" w14:textId="77777777" w:rsidR="00EF4F4E" w:rsidRDefault="00000000">
      <w:pPr>
        <w:pStyle w:val="Heading1"/>
        <w:spacing w:before="300" w:after="150"/>
      </w:pPr>
      <w:r>
        <w:t xml:space="preserve">1. Introduction to </w:t>
      </w:r>
      <w:proofErr w:type="gramStart"/>
      <w:r>
        <w:t>the Emerging</w:t>
      </w:r>
      <w:proofErr w:type="gramEnd"/>
      <w:r>
        <w:t xml:space="preserve"> Technology</w:t>
      </w:r>
    </w:p>
    <w:p w14:paraId="73318FCC" w14:textId="77777777" w:rsidR="00EF4F4E" w:rsidRDefault="00000000">
      <w:pPr>
        <w:spacing w:after="160" w:line="276" w:lineRule="auto"/>
        <w:jc w:val="both"/>
      </w:pPr>
      <w:r>
        <w:t>Transformer models are a class of deep learning architectures that process sequences of text using a mechanism called self-attention rather than the step-by-step recurrence used in earlier models. Introduced by Vaswani et al. in the 2017 paper “Attention Is All You Need,” the Transformer has since become the dominant architecture in Natural Language Processing (NLP), underpinning virtually all modern large language models, including BERT, the GPT series, T5, and their many derivatives.</w:t>
      </w:r>
    </w:p>
    <w:p w14:paraId="4F667A99" w14:textId="77777777" w:rsidR="00EF4F4E" w:rsidRDefault="00000000">
      <w:pPr>
        <w:spacing w:after="160" w:line="276" w:lineRule="auto"/>
        <w:jc w:val="both"/>
      </w:pPr>
      <w:r>
        <w:t xml:space="preserve">By allowing every word in a sequence to directly relate to every other word regardless of distance, Transformers capture contextual meaning far more effectively than previous approaches, while also being highly </w:t>
      </w:r>
      <w:proofErr w:type="spellStart"/>
      <w:r>
        <w:t>parallelisable</w:t>
      </w:r>
      <w:proofErr w:type="spellEnd"/>
      <w:r>
        <w:t xml:space="preserve"> during training.</w:t>
      </w:r>
    </w:p>
    <w:p w14:paraId="297A123B" w14:textId="77777777" w:rsidR="00EF4F4E" w:rsidRDefault="00000000">
      <w:pPr>
        <w:pStyle w:val="Heading1"/>
        <w:spacing w:before="300" w:after="150"/>
      </w:pPr>
      <w:r>
        <w:t>2. Need and Motivation</w:t>
      </w:r>
    </w:p>
    <w:p w14:paraId="4B1A2252" w14:textId="77777777" w:rsidR="00EF4F4E" w:rsidRDefault="00000000">
      <w:pPr>
        <w:spacing w:after="160" w:line="276" w:lineRule="auto"/>
        <w:jc w:val="both"/>
      </w:pPr>
      <w:r>
        <w:t xml:space="preserve">Before Transformers, NLP relied heavily on Recurrent Neural Networks (RNNs) and their variant, Long Short-Term Memory (LSTM) networks, which process text one token at a time. These sequential models suffered from several well-known limitations that motivated the search for </w:t>
      </w:r>
      <w:proofErr w:type="gramStart"/>
      <w:r>
        <w:t>a new</w:t>
      </w:r>
      <w:proofErr w:type="gramEnd"/>
      <w:r>
        <w:t xml:space="preserve"> architecture.</w:t>
      </w:r>
    </w:p>
    <w:p w14:paraId="44A3892B" w14:textId="77777777" w:rsidR="00EF4F4E" w:rsidRDefault="00000000">
      <w:pPr>
        <w:pStyle w:val="ListParagraph"/>
        <w:numPr>
          <w:ilvl w:val="0"/>
          <w:numId w:val="2"/>
        </w:numPr>
        <w:spacing w:after="80"/>
      </w:pPr>
      <w:r>
        <w:t>Vanishing gradients: RNNs struggled to retain information from early parts of long sequences, weakening long-range understanding.</w:t>
      </w:r>
    </w:p>
    <w:p w14:paraId="50D2073E" w14:textId="77777777" w:rsidR="00EF4F4E" w:rsidRDefault="00000000">
      <w:pPr>
        <w:pStyle w:val="ListParagraph"/>
        <w:numPr>
          <w:ilvl w:val="0"/>
          <w:numId w:val="2"/>
        </w:numPr>
        <w:spacing w:after="80"/>
      </w:pPr>
      <w:r>
        <w:t xml:space="preserve">Poor </w:t>
      </w:r>
      <w:proofErr w:type="spellStart"/>
      <w:r>
        <w:t>parallelisation</w:t>
      </w:r>
      <w:proofErr w:type="spellEnd"/>
      <w:r>
        <w:t>: sequential, word-by-word processing prevented full use of modern GPU hardware, slowing training on large datasets.</w:t>
      </w:r>
    </w:p>
    <w:p w14:paraId="246CC073" w14:textId="77777777" w:rsidR="00EF4F4E" w:rsidRDefault="00000000">
      <w:pPr>
        <w:pStyle w:val="ListParagraph"/>
        <w:numPr>
          <w:ilvl w:val="0"/>
          <w:numId w:val="2"/>
        </w:numPr>
        <w:spacing w:after="80"/>
      </w:pPr>
      <w:r>
        <w:t xml:space="preserve">Limited context: earlier word-embedding methods such as Word2Vec and </w:t>
      </w:r>
      <w:proofErr w:type="spellStart"/>
      <w:r>
        <w:t>GloVe</w:t>
      </w:r>
      <w:proofErr w:type="spellEnd"/>
      <w:r>
        <w:t xml:space="preserve"> produced fixed representations that could not adapt to the surrounding context of a word.</w:t>
      </w:r>
    </w:p>
    <w:p w14:paraId="7B1FB6F8" w14:textId="77777777" w:rsidR="00EF4F4E" w:rsidRDefault="00000000">
      <w:pPr>
        <w:pStyle w:val="ListParagraph"/>
        <w:numPr>
          <w:ilvl w:val="0"/>
          <w:numId w:val="2"/>
        </w:numPr>
        <w:spacing w:after="80"/>
      </w:pPr>
      <w:r>
        <w:t xml:space="preserve">Growing data and task complexity: NLP tasks such as translation, </w:t>
      </w:r>
      <w:proofErr w:type="spellStart"/>
      <w:r>
        <w:t>summarisation</w:t>
      </w:r>
      <w:proofErr w:type="spellEnd"/>
      <w:r>
        <w:t>, and question answering demanded models capable of learning nuanced, long-distance relationships between words.</w:t>
      </w:r>
    </w:p>
    <w:p w14:paraId="0ABB34F8" w14:textId="77777777" w:rsidR="00EF4F4E" w:rsidRDefault="00000000">
      <w:pPr>
        <w:spacing w:after="160" w:line="276" w:lineRule="auto"/>
        <w:jc w:val="both"/>
      </w:pPr>
      <w:r>
        <w:t>The self-attention mechanism was designed specifically to address these gaps by letting a model directly weigh the relevance of every other token when interpreting a given token, independent of sequence position.</w:t>
      </w:r>
    </w:p>
    <w:p w14:paraId="4AEBBEB9" w14:textId="77777777" w:rsidR="00EF4F4E" w:rsidRDefault="00000000">
      <w:pPr>
        <w:pStyle w:val="Heading1"/>
        <w:spacing w:before="300" w:after="150"/>
      </w:pPr>
      <w:r>
        <w:t>3. Working Principle / Architecture</w:t>
      </w:r>
    </w:p>
    <w:p w14:paraId="510094A0" w14:textId="77777777" w:rsidR="00EF4F4E" w:rsidRDefault="00000000">
      <w:pPr>
        <w:spacing w:after="160" w:line="276" w:lineRule="auto"/>
        <w:jc w:val="both"/>
      </w:pPr>
      <w:r>
        <w:t xml:space="preserve">The original Transformer follows an encoder–decoder structure. The encoder converts an input sequence into a set of context-aware vector representations, and the decoder uses these representations, together with </w:t>
      </w:r>
      <w:r>
        <w:lastRenderedPageBreak/>
        <w:t>previously generated tokens, to produce an output sequence. Later models typically use only one half of this structure: BERT uses an encoder-only design for language understanding, while GPT uses a decoder-only design for text generation.</w:t>
      </w:r>
    </w:p>
    <w:p w14:paraId="1E529AAA" w14:textId="77777777" w:rsidR="00EF4F4E" w:rsidRDefault="00000000">
      <w:pPr>
        <w:spacing w:after="160" w:line="276" w:lineRule="auto"/>
        <w:jc w:val="both"/>
      </w:pPr>
      <w:r>
        <w:t xml:space="preserve">Each encoder or decoder block is built from two main sub-layers: a multi-head self-attention layer and a position-wise feed-forward network, with residual connections and layer </w:t>
      </w:r>
      <w:proofErr w:type="spellStart"/>
      <w:r>
        <w:t>normalisation</w:t>
      </w:r>
      <w:proofErr w:type="spellEnd"/>
      <w:r>
        <w:t xml:space="preserve"> around each. Because self-attention itself has no sense of word order, positional encodings are added to the input </w:t>
      </w:r>
      <w:proofErr w:type="gramStart"/>
      <w:r>
        <w:t>embeddings</w:t>
      </w:r>
      <w:proofErr w:type="gramEnd"/>
      <w:r>
        <w:t xml:space="preserve"> so the model knows the sequence position of each token.</w:t>
      </w:r>
    </w:p>
    <w:p w14:paraId="62042BBF" w14:textId="77777777" w:rsidR="00EF4F4E" w:rsidRDefault="00000000">
      <w:pPr>
        <w:spacing w:after="160" w:line="276" w:lineRule="auto"/>
        <w:jc w:val="both"/>
      </w:pPr>
      <w:r>
        <w:t>Self-attention works by projecting each token into three vectors — Query (Q), Key (K), and Value (</w:t>
      </w:r>
      <w:proofErr w:type="gramStart"/>
      <w:r>
        <w:t>V) —</w:t>
      </w:r>
      <w:proofErr w:type="gramEnd"/>
      <w:r>
        <w:t xml:space="preserve"> and computing attention scores as a scaled dot product of Q and K, which is passed through a </w:t>
      </w:r>
      <w:proofErr w:type="spellStart"/>
      <w:r>
        <w:t>softmax</w:t>
      </w:r>
      <w:proofErr w:type="spellEnd"/>
      <w:r>
        <w:t xml:space="preserve"> function and used to weight the Value vectors. Multiple attention “heads” run this process in parallel, each learning to focus on different types of relationships (e.g., syntactic versus semantic), and their outputs are concatenated and combined.</w:t>
      </w:r>
    </w:p>
    <w:p w14:paraId="550F1CDF" w14:textId="77777777" w:rsidR="00EF4F4E" w:rsidRDefault="00000000">
      <w:pPr>
        <w:pStyle w:val="Heading1"/>
        <w:spacing w:before="300" w:after="150"/>
      </w:pPr>
      <w:r>
        <w:t>4. Key Components and Technologies</w:t>
      </w:r>
    </w:p>
    <w:p w14:paraId="3FD372B9" w14:textId="77777777" w:rsidR="00EF4F4E" w:rsidRDefault="00000000">
      <w:pPr>
        <w:pStyle w:val="ListParagraph"/>
        <w:numPr>
          <w:ilvl w:val="0"/>
          <w:numId w:val="2"/>
        </w:numPr>
        <w:spacing w:after="80"/>
      </w:pPr>
      <w:proofErr w:type="spellStart"/>
      <w:r>
        <w:t>Tokenisation</w:t>
      </w:r>
      <w:proofErr w:type="spellEnd"/>
      <w:r>
        <w:t xml:space="preserve"> and embeddings: input text is split into sub-word tokens (e.g., Byte-Pair Encoding, </w:t>
      </w:r>
      <w:proofErr w:type="spellStart"/>
      <w:r>
        <w:t>WordPiece</w:t>
      </w:r>
      <w:proofErr w:type="spellEnd"/>
      <w:r>
        <w:t>) and mapped to dense vector embeddings.</w:t>
      </w:r>
    </w:p>
    <w:p w14:paraId="2DE509A3" w14:textId="77777777" w:rsidR="00EF4F4E" w:rsidRDefault="00000000">
      <w:pPr>
        <w:pStyle w:val="ListParagraph"/>
        <w:numPr>
          <w:ilvl w:val="0"/>
          <w:numId w:val="2"/>
        </w:numPr>
        <w:spacing w:after="80"/>
      </w:pPr>
      <w:r>
        <w:t>Positional encoding: injects information about token order, since self-attention alone is order-agnostic.</w:t>
      </w:r>
    </w:p>
    <w:p w14:paraId="46AF714E" w14:textId="77777777" w:rsidR="00EF4F4E" w:rsidRDefault="00000000">
      <w:pPr>
        <w:pStyle w:val="ListParagraph"/>
        <w:numPr>
          <w:ilvl w:val="0"/>
          <w:numId w:val="2"/>
        </w:numPr>
        <w:spacing w:after="80"/>
      </w:pPr>
      <w:r>
        <w:t>Multi-head self-</w:t>
      </w:r>
      <w:proofErr w:type="gramStart"/>
      <w:r>
        <w:t>attention:</w:t>
      </w:r>
      <w:proofErr w:type="gramEnd"/>
      <w:r>
        <w:t xml:space="preserve"> allows the model to attend to different parts of the sequence simultaneously from multiple representation subspaces.</w:t>
      </w:r>
    </w:p>
    <w:p w14:paraId="539A94ED" w14:textId="77777777" w:rsidR="00EF4F4E" w:rsidRDefault="00000000">
      <w:pPr>
        <w:pStyle w:val="ListParagraph"/>
        <w:numPr>
          <w:ilvl w:val="0"/>
          <w:numId w:val="2"/>
        </w:numPr>
        <w:spacing w:after="80"/>
      </w:pPr>
      <w:r>
        <w:t xml:space="preserve">Feed-forward layers, residual connections, and layer </w:t>
      </w:r>
      <w:proofErr w:type="spellStart"/>
      <w:r>
        <w:t>normalisation</w:t>
      </w:r>
      <w:proofErr w:type="spellEnd"/>
      <w:r>
        <w:t xml:space="preserve">: </w:t>
      </w:r>
      <w:proofErr w:type="spellStart"/>
      <w:r>
        <w:t>stabilise</w:t>
      </w:r>
      <w:proofErr w:type="spellEnd"/>
      <w:r>
        <w:t xml:space="preserve"> training and allow deep stacks of attention blocks.</w:t>
      </w:r>
    </w:p>
    <w:p w14:paraId="6C502EE6" w14:textId="77777777" w:rsidR="00EF4F4E" w:rsidRDefault="00000000">
      <w:pPr>
        <w:pStyle w:val="ListParagraph"/>
        <w:numPr>
          <w:ilvl w:val="0"/>
          <w:numId w:val="2"/>
        </w:numPr>
        <w:spacing w:after="80"/>
      </w:pPr>
      <w:r>
        <w:t xml:space="preserve">Pre-training and fine-tuning: models are first pre-trained on large </w:t>
      </w:r>
      <w:proofErr w:type="spellStart"/>
      <w:r>
        <w:t>unlabelled</w:t>
      </w:r>
      <w:proofErr w:type="spellEnd"/>
      <w:r>
        <w:t xml:space="preserve"> text corpora using objectives such as masked-language modelling (BERT) or next-token prediction (GPT), then fine-tuned or instruction-tuned for specific downstream tasks.</w:t>
      </w:r>
    </w:p>
    <w:p w14:paraId="5B240F7C" w14:textId="77777777" w:rsidR="00EF4F4E" w:rsidRDefault="00000000">
      <w:pPr>
        <w:spacing w:after="160" w:line="276" w:lineRule="auto"/>
        <w:jc w:val="both"/>
      </w:pPr>
      <w:r>
        <w:t xml:space="preserve">Table 1 </w:t>
      </w:r>
      <w:proofErr w:type="spellStart"/>
      <w:r>
        <w:t>summarises</w:t>
      </w:r>
      <w:proofErr w:type="spellEnd"/>
      <w:r>
        <w:t xml:space="preserve"> the major Transformer-based model families and their distinguishing characteristics.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1567"/>
        <w:gridCol w:w="2421"/>
        <w:gridCol w:w="4925"/>
      </w:tblGrid>
      <w:tr w:rsidR="00EF4F4E" w14:paraId="7090163C" w14:textId="77777777">
        <w:tblPrEx>
          <w:tblCellMar>
            <w:top w:w="0" w:type="dxa"/>
            <w:bottom w:w="0" w:type="dxa"/>
          </w:tblCellMar>
        </w:tblPrEx>
        <w:trPr>
          <w:tblHeader/>
        </w:trPr>
        <w:tc>
          <w:tcPr>
            <w:tcW w:w="0" w:type="auto"/>
            <w:shd w:val="clear" w:color="auto" w:fill="1F4E79"/>
            <w:vAlign w:val="center"/>
          </w:tcPr>
          <w:p w14:paraId="1172F179" w14:textId="77777777" w:rsidR="00EF4F4E" w:rsidRDefault="00000000">
            <w:pPr>
              <w:jc w:val="center"/>
            </w:pPr>
            <w:r>
              <w:rPr>
                <w:b/>
                <w:bCs/>
                <w:color w:val="FFFFFF"/>
                <w:sz w:val="19"/>
                <w:szCs w:val="19"/>
              </w:rPr>
              <w:t>Model</w:t>
            </w:r>
          </w:p>
        </w:tc>
        <w:tc>
          <w:tcPr>
            <w:tcW w:w="0" w:type="auto"/>
            <w:shd w:val="clear" w:color="auto" w:fill="1F4E79"/>
            <w:vAlign w:val="center"/>
          </w:tcPr>
          <w:p w14:paraId="01A6783E" w14:textId="77777777" w:rsidR="00EF4F4E" w:rsidRDefault="00000000">
            <w:pPr>
              <w:jc w:val="center"/>
            </w:pPr>
            <w:r>
              <w:rPr>
                <w:b/>
                <w:bCs/>
                <w:color w:val="FFFFFF"/>
                <w:sz w:val="19"/>
                <w:szCs w:val="19"/>
              </w:rPr>
              <w:t>Year / Origin</w:t>
            </w:r>
          </w:p>
        </w:tc>
        <w:tc>
          <w:tcPr>
            <w:tcW w:w="0" w:type="auto"/>
            <w:shd w:val="clear" w:color="auto" w:fill="1F4E79"/>
            <w:vAlign w:val="center"/>
          </w:tcPr>
          <w:p w14:paraId="6A5F885C" w14:textId="77777777" w:rsidR="00EF4F4E" w:rsidRDefault="00000000">
            <w:pPr>
              <w:jc w:val="center"/>
            </w:pPr>
            <w:r>
              <w:rPr>
                <w:b/>
                <w:bCs/>
                <w:color w:val="FFFFFF"/>
                <w:sz w:val="19"/>
                <w:szCs w:val="19"/>
              </w:rPr>
              <w:t>Architecture Type</w:t>
            </w:r>
          </w:p>
        </w:tc>
        <w:tc>
          <w:tcPr>
            <w:tcW w:w="0" w:type="auto"/>
            <w:shd w:val="clear" w:color="auto" w:fill="1F4E79"/>
            <w:vAlign w:val="center"/>
          </w:tcPr>
          <w:p w14:paraId="6DFF2735" w14:textId="77777777" w:rsidR="00EF4F4E" w:rsidRDefault="00000000">
            <w:pPr>
              <w:jc w:val="center"/>
            </w:pPr>
            <w:r>
              <w:rPr>
                <w:b/>
                <w:bCs/>
                <w:color w:val="FFFFFF"/>
                <w:sz w:val="19"/>
                <w:szCs w:val="19"/>
              </w:rPr>
              <w:t>Primary Strength</w:t>
            </w:r>
          </w:p>
        </w:tc>
      </w:tr>
      <w:tr w:rsidR="00EF4F4E" w14:paraId="7E56D85C" w14:textId="77777777">
        <w:tblPrEx>
          <w:tblCellMar>
            <w:top w:w="0" w:type="dxa"/>
            <w:bottom w:w="0" w:type="dxa"/>
          </w:tblCellMar>
        </w:tblPrEx>
        <w:tc>
          <w:tcPr>
            <w:tcW w:w="0" w:type="auto"/>
          </w:tcPr>
          <w:p w14:paraId="62B1F0E8" w14:textId="77777777" w:rsidR="00EF4F4E" w:rsidRDefault="00000000">
            <w:r>
              <w:rPr>
                <w:sz w:val="19"/>
                <w:szCs w:val="19"/>
              </w:rPr>
              <w:t>Transformer (original)</w:t>
            </w:r>
          </w:p>
        </w:tc>
        <w:tc>
          <w:tcPr>
            <w:tcW w:w="0" w:type="auto"/>
          </w:tcPr>
          <w:p w14:paraId="5F73F0E3" w14:textId="77777777" w:rsidR="00EF4F4E" w:rsidRDefault="00000000">
            <w:r>
              <w:rPr>
                <w:sz w:val="19"/>
                <w:szCs w:val="19"/>
              </w:rPr>
              <w:t>2017, Google</w:t>
            </w:r>
          </w:p>
        </w:tc>
        <w:tc>
          <w:tcPr>
            <w:tcW w:w="0" w:type="auto"/>
          </w:tcPr>
          <w:p w14:paraId="7DED10EC" w14:textId="77777777" w:rsidR="00EF4F4E" w:rsidRDefault="00000000">
            <w:r>
              <w:rPr>
                <w:sz w:val="19"/>
                <w:szCs w:val="19"/>
              </w:rPr>
              <w:t>Encoder–decoder</w:t>
            </w:r>
          </w:p>
        </w:tc>
        <w:tc>
          <w:tcPr>
            <w:tcW w:w="0" w:type="auto"/>
          </w:tcPr>
          <w:p w14:paraId="0AAF337C" w14:textId="77777777" w:rsidR="00EF4F4E" w:rsidRDefault="00000000">
            <w:r>
              <w:rPr>
                <w:sz w:val="19"/>
                <w:szCs w:val="19"/>
              </w:rPr>
              <w:t>Introduced self-attention; sequence-to-sequence tasks such as translation</w:t>
            </w:r>
          </w:p>
        </w:tc>
      </w:tr>
      <w:tr w:rsidR="00EF4F4E" w14:paraId="06575319" w14:textId="77777777">
        <w:tblPrEx>
          <w:tblCellMar>
            <w:top w:w="0" w:type="dxa"/>
            <w:bottom w:w="0" w:type="dxa"/>
          </w:tblCellMar>
        </w:tblPrEx>
        <w:tc>
          <w:tcPr>
            <w:tcW w:w="0" w:type="auto"/>
          </w:tcPr>
          <w:p w14:paraId="64B74A17" w14:textId="77777777" w:rsidR="00EF4F4E" w:rsidRDefault="00000000">
            <w:r>
              <w:rPr>
                <w:sz w:val="19"/>
                <w:szCs w:val="19"/>
              </w:rPr>
              <w:t>BERT</w:t>
            </w:r>
          </w:p>
        </w:tc>
        <w:tc>
          <w:tcPr>
            <w:tcW w:w="0" w:type="auto"/>
          </w:tcPr>
          <w:p w14:paraId="66A23A2E" w14:textId="77777777" w:rsidR="00EF4F4E" w:rsidRDefault="00000000">
            <w:r>
              <w:rPr>
                <w:sz w:val="19"/>
                <w:szCs w:val="19"/>
              </w:rPr>
              <w:t>2018, Google</w:t>
            </w:r>
          </w:p>
        </w:tc>
        <w:tc>
          <w:tcPr>
            <w:tcW w:w="0" w:type="auto"/>
          </w:tcPr>
          <w:p w14:paraId="789EF124" w14:textId="77777777" w:rsidR="00EF4F4E" w:rsidRDefault="00000000">
            <w:r>
              <w:rPr>
                <w:sz w:val="19"/>
                <w:szCs w:val="19"/>
              </w:rPr>
              <w:t>Encoder-only, bidirectional</w:t>
            </w:r>
          </w:p>
        </w:tc>
        <w:tc>
          <w:tcPr>
            <w:tcW w:w="0" w:type="auto"/>
          </w:tcPr>
          <w:p w14:paraId="0495EAA4" w14:textId="77777777" w:rsidR="00EF4F4E" w:rsidRDefault="00000000">
            <w:r>
              <w:rPr>
                <w:sz w:val="19"/>
                <w:szCs w:val="19"/>
              </w:rPr>
              <w:t>Deep contextual understanding for classification, QA, NER</w:t>
            </w:r>
          </w:p>
        </w:tc>
      </w:tr>
      <w:tr w:rsidR="00EF4F4E" w14:paraId="70DBE46D" w14:textId="77777777">
        <w:tblPrEx>
          <w:tblCellMar>
            <w:top w:w="0" w:type="dxa"/>
            <w:bottom w:w="0" w:type="dxa"/>
          </w:tblCellMar>
        </w:tblPrEx>
        <w:tc>
          <w:tcPr>
            <w:tcW w:w="0" w:type="auto"/>
          </w:tcPr>
          <w:p w14:paraId="5F1B9E6D" w14:textId="77777777" w:rsidR="00EF4F4E" w:rsidRDefault="00000000">
            <w:r>
              <w:rPr>
                <w:sz w:val="19"/>
                <w:szCs w:val="19"/>
              </w:rPr>
              <w:t>GPT series</w:t>
            </w:r>
          </w:p>
        </w:tc>
        <w:tc>
          <w:tcPr>
            <w:tcW w:w="0" w:type="auto"/>
          </w:tcPr>
          <w:p w14:paraId="4199AC37" w14:textId="77777777" w:rsidR="00EF4F4E" w:rsidRDefault="00000000">
            <w:r>
              <w:rPr>
                <w:sz w:val="19"/>
                <w:szCs w:val="19"/>
              </w:rPr>
              <w:t>2018–present, OpenAI</w:t>
            </w:r>
          </w:p>
        </w:tc>
        <w:tc>
          <w:tcPr>
            <w:tcW w:w="0" w:type="auto"/>
          </w:tcPr>
          <w:p w14:paraId="3F70940B" w14:textId="77777777" w:rsidR="00EF4F4E" w:rsidRDefault="00000000">
            <w:r>
              <w:rPr>
                <w:sz w:val="19"/>
                <w:szCs w:val="19"/>
              </w:rPr>
              <w:t>Decoder-only, autoregressive</w:t>
            </w:r>
          </w:p>
        </w:tc>
        <w:tc>
          <w:tcPr>
            <w:tcW w:w="0" w:type="auto"/>
          </w:tcPr>
          <w:p w14:paraId="5CEC5092" w14:textId="77777777" w:rsidR="00EF4F4E" w:rsidRDefault="00000000">
            <w:r>
              <w:rPr>
                <w:sz w:val="19"/>
                <w:szCs w:val="19"/>
              </w:rPr>
              <w:t>Fluent text generation and in-context learning</w:t>
            </w:r>
          </w:p>
        </w:tc>
      </w:tr>
      <w:tr w:rsidR="00EF4F4E" w14:paraId="3B45729B" w14:textId="77777777">
        <w:tblPrEx>
          <w:tblCellMar>
            <w:top w:w="0" w:type="dxa"/>
            <w:bottom w:w="0" w:type="dxa"/>
          </w:tblCellMar>
        </w:tblPrEx>
        <w:tc>
          <w:tcPr>
            <w:tcW w:w="0" w:type="auto"/>
          </w:tcPr>
          <w:p w14:paraId="3ED71F4F" w14:textId="77777777" w:rsidR="00EF4F4E" w:rsidRDefault="00000000">
            <w:proofErr w:type="spellStart"/>
            <w:r>
              <w:rPr>
                <w:sz w:val="19"/>
                <w:szCs w:val="19"/>
              </w:rPr>
              <w:t>XLNet</w:t>
            </w:r>
            <w:proofErr w:type="spellEnd"/>
          </w:p>
        </w:tc>
        <w:tc>
          <w:tcPr>
            <w:tcW w:w="0" w:type="auto"/>
          </w:tcPr>
          <w:p w14:paraId="5DD90153" w14:textId="77777777" w:rsidR="00EF4F4E" w:rsidRDefault="00000000">
            <w:r>
              <w:rPr>
                <w:sz w:val="19"/>
                <w:szCs w:val="19"/>
              </w:rPr>
              <w:t>2019</w:t>
            </w:r>
          </w:p>
        </w:tc>
        <w:tc>
          <w:tcPr>
            <w:tcW w:w="0" w:type="auto"/>
          </w:tcPr>
          <w:p w14:paraId="6914AF02" w14:textId="77777777" w:rsidR="00EF4F4E" w:rsidRDefault="00000000">
            <w:r>
              <w:rPr>
                <w:sz w:val="19"/>
                <w:szCs w:val="19"/>
              </w:rPr>
              <w:t>Permutation-based autoregressive</w:t>
            </w:r>
          </w:p>
        </w:tc>
        <w:tc>
          <w:tcPr>
            <w:tcW w:w="0" w:type="auto"/>
          </w:tcPr>
          <w:p w14:paraId="598AC21B" w14:textId="77777777" w:rsidR="00EF4F4E" w:rsidRDefault="00000000">
            <w:r>
              <w:rPr>
                <w:sz w:val="19"/>
                <w:szCs w:val="19"/>
              </w:rPr>
              <w:t>Combines bidirectional context with autoregressive training</w:t>
            </w:r>
          </w:p>
        </w:tc>
      </w:tr>
      <w:tr w:rsidR="00EF4F4E" w14:paraId="41445CCC" w14:textId="77777777">
        <w:tblPrEx>
          <w:tblCellMar>
            <w:top w:w="0" w:type="dxa"/>
            <w:bottom w:w="0" w:type="dxa"/>
          </w:tblCellMar>
        </w:tblPrEx>
        <w:tc>
          <w:tcPr>
            <w:tcW w:w="0" w:type="auto"/>
          </w:tcPr>
          <w:p w14:paraId="724A7441" w14:textId="77777777" w:rsidR="00EF4F4E" w:rsidRDefault="00000000">
            <w:r>
              <w:rPr>
                <w:sz w:val="19"/>
                <w:szCs w:val="19"/>
              </w:rPr>
              <w:t>T5</w:t>
            </w:r>
          </w:p>
        </w:tc>
        <w:tc>
          <w:tcPr>
            <w:tcW w:w="0" w:type="auto"/>
          </w:tcPr>
          <w:p w14:paraId="2D5ADA8D" w14:textId="77777777" w:rsidR="00EF4F4E" w:rsidRDefault="00000000">
            <w:r>
              <w:rPr>
                <w:sz w:val="19"/>
                <w:szCs w:val="19"/>
              </w:rPr>
              <w:t>2019, Google</w:t>
            </w:r>
          </w:p>
        </w:tc>
        <w:tc>
          <w:tcPr>
            <w:tcW w:w="0" w:type="auto"/>
          </w:tcPr>
          <w:p w14:paraId="117F0D4C" w14:textId="77777777" w:rsidR="00EF4F4E" w:rsidRDefault="00000000">
            <w:r>
              <w:rPr>
                <w:sz w:val="19"/>
                <w:szCs w:val="19"/>
              </w:rPr>
              <w:t>Encoder–decoder</w:t>
            </w:r>
          </w:p>
        </w:tc>
        <w:tc>
          <w:tcPr>
            <w:tcW w:w="0" w:type="auto"/>
          </w:tcPr>
          <w:p w14:paraId="522DC751" w14:textId="77777777" w:rsidR="00EF4F4E" w:rsidRDefault="00000000">
            <w:r>
              <w:rPr>
                <w:sz w:val="19"/>
                <w:szCs w:val="19"/>
              </w:rPr>
              <w:t>Treats every NLP task as text-to-text generation</w:t>
            </w:r>
          </w:p>
        </w:tc>
      </w:tr>
      <w:tr w:rsidR="00EF4F4E" w14:paraId="3C96D237" w14:textId="77777777">
        <w:tblPrEx>
          <w:tblCellMar>
            <w:top w:w="0" w:type="dxa"/>
            <w:bottom w:w="0" w:type="dxa"/>
          </w:tblCellMar>
        </w:tblPrEx>
        <w:tc>
          <w:tcPr>
            <w:tcW w:w="0" w:type="auto"/>
          </w:tcPr>
          <w:p w14:paraId="76A8C6F0" w14:textId="77777777" w:rsidR="00EF4F4E" w:rsidRDefault="00000000">
            <w:proofErr w:type="spellStart"/>
            <w:r>
              <w:rPr>
                <w:sz w:val="19"/>
                <w:szCs w:val="19"/>
              </w:rPr>
              <w:t>DistilBERT</w:t>
            </w:r>
            <w:proofErr w:type="spellEnd"/>
            <w:r>
              <w:rPr>
                <w:sz w:val="19"/>
                <w:szCs w:val="19"/>
              </w:rPr>
              <w:t xml:space="preserve"> / ALBERT</w:t>
            </w:r>
          </w:p>
        </w:tc>
        <w:tc>
          <w:tcPr>
            <w:tcW w:w="0" w:type="auto"/>
          </w:tcPr>
          <w:p w14:paraId="43E4D44E" w14:textId="77777777" w:rsidR="00EF4F4E" w:rsidRDefault="00000000">
            <w:r>
              <w:rPr>
                <w:sz w:val="19"/>
                <w:szCs w:val="19"/>
              </w:rPr>
              <w:t>2019</w:t>
            </w:r>
          </w:p>
        </w:tc>
        <w:tc>
          <w:tcPr>
            <w:tcW w:w="0" w:type="auto"/>
          </w:tcPr>
          <w:p w14:paraId="3CB19C90" w14:textId="77777777" w:rsidR="00EF4F4E" w:rsidRDefault="00000000">
            <w:r>
              <w:rPr>
                <w:sz w:val="19"/>
                <w:szCs w:val="19"/>
              </w:rPr>
              <w:t>Compressed encoder</w:t>
            </w:r>
          </w:p>
        </w:tc>
        <w:tc>
          <w:tcPr>
            <w:tcW w:w="0" w:type="auto"/>
          </w:tcPr>
          <w:p w14:paraId="04D00D31" w14:textId="77777777" w:rsidR="00EF4F4E" w:rsidRDefault="00000000">
            <w:r>
              <w:rPr>
                <w:sz w:val="19"/>
                <w:szCs w:val="19"/>
              </w:rPr>
              <w:t>Reduced size and latency for resource-constrained deployment</w:t>
            </w:r>
          </w:p>
        </w:tc>
      </w:tr>
    </w:tbl>
    <w:p w14:paraId="010B516A" w14:textId="77777777" w:rsidR="00EF4F4E" w:rsidRDefault="00EF4F4E">
      <w:pPr>
        <w:spacing w:after="200"/>
      </w:pPr>
    </w:p>
    <w:p w14:paraId="2A3F0349" w14:textId="77777777" w:rsidR="00EF4F4E" w:rsidRDefault="00000000">
      <w:pPr>
        <w:pStyle w:val="Heading1"/>
        <w:spacing w:before="300" w:after="150"/>
      </w:pPr>
      <w:r>
        <w:t>5. Applications / Real-World Use Cases</w:t>
      </w:r>
    </w:p>
    <w:p w14:paraId="4E6DCEB4" w14:textId="77777777" w:rsidR="00EF4F4E" w:rsidRDefault="00000000">
      <w:pPr>
        <w:pStyle w:val="ListParagraph"/>
        <w:numPr>
          <w:ilvl w:val="0"/>
          <w:numId w:val="2"/>
        </w:numPr>
        <w:spacing w:after="80"/>
      </w:pPr>
      <w:r>
        <w:t>Machine translation and multilingual communication tools.</w:t>
      </w:r>
    </w:p>
    <w:p w14:paraId="659FA3CC" w14:textId="77777777" w:rsidR="00EF4F4E" w:rsidRDefault="00000000">
      <w:pPr>
        <w:pStyle w:val="ListParagraph"/>
        <w:numPr>
          <w:ilvl w:val="0"/>
          <w:numId w:val="2"/>
        </w:numPr>
        <w:spacing w:after="80"/>
      </w:pPr>
      <w:r>
        <w:t>Search engines: Google integrated BERT into its search ranking system to better interpret the intent behind natural-language queries.</w:t>
      </w:r>
    </w:p>
    <w:p w14:paraId="385BA785" w14:textId="77777777" w:rsidR="00EF4F4E" w:rsidRDefault="00000000">
      <w:pPr>
        <w:pStyle w:val="ListParagraph"/>
        <w:numPr>
          <w:ilvl w:val="0"/>
          <w:numId w:val="2"/>
        </w:numPr>
        <w:spacing w:after="80"/>
      </w:pPr>
      <w:r>
        <w:t>Conversational AI and customer-support chatbots built on GPT-family models.</w:t>
      </w:r>
    </w:p>
    <w:p w14:paraId="2F366E10" w14:textId="77777777" w:rsidR="00EF4F4E" w:rsidRDefault="00000000">
      <w:pPr>
        <w:pStyle w:val="ListParagraph"/>
        <w:numPr>
          <w:ilvl w:val="0"/>
          <w:numId w:val="2"/>
        </w:numPr>
        <w:spacing w:after="80"/>
      </w:pPr>
      <w:r>
        <w:t xml:space="preserve">Text </w:t>
      </w:r>
      <w:proofErr w:type="spellStart"/>
      <w:r>
        <w:t>summarisation</w:t>
      </w:r>
      <w:proofErr w:type="spellEnd"/>
      <w:r>
        <w:t>, sentiment analysis, and named-entity recognition for business and media analytics.</w:t>
      </w:r>
    </w:p>
    <w:p w14:paraId="56291FFF" w14:textId="77777777" w:rsidR="00EF4F4E" w:rsidRDefault="00000000">
      <w:pPr>
        <w:pStyle w:val="ListParagraph"/>
        <w:numPr>
          <w:ilvl w:val="0"/>
          <w:numId w:val="2"/>
        </w:numPr>
        <w:spacing w:after="80"/>
      </w:pPr>
      <w:r>
        <w:t>Question-answering systems and enterprise knowledge search, often combined with Retrieval-Augmented Generation (RAG).</w:t>
      </w:r>
    </w:p>
    <w:p w14:paraId="02BD5EB8" w14:textId="77777777" w:rsidR="00EF4F4E" w:rsidRDefault="00000000">
      <w:pPr>
        <w:pStyle w:val="ListParagraph"/>
        <w:numPr>
          <w:ilvl w:val="0"/>
          <w:numId w:val="2"/>
        </w:numPr>
        <w:spacing w:after="80"/>
      </w:pPr>
      <w:r>
        <w:t>Code generation and developer assistance tools built on decoder-only Transformer models.</w:t>
      </w:r>
    </w:p>
    <w:p w14:paraId="35E76D98" w14:textId="77777777" w:rsidR="00EF4F4E" w:rsidRDefault="00000000">
      <w:pPr>
        <w:pStyle w:val="ListParagraph"/>
        <w:numPr>
          <w:ilvl w:val="0"/>
          <w:numId w:val="2"/>
        </w:numPr>
        <w:spacing w:after="80"/>
      </w:pPr>
      <w:r>
        <w:t xml:space="preserve">Domain-specific applications, such as clinical-note </w:t>
      </w:r>
      <w:proofErr w:type="spellStart"/>
      <w:r>
        <w:t>summarisation</w:t>
      </w:r>
      <w:proofErr w:type="spellEnd"/>
      <w:r>
        <w:t xml:space="preserve"> in healthcare and automated report drafting in engineering and infrastructure sectors.</w:t>
      </w:r>
    </w:p>
    <w:p w14:paraId="0A643545" w14:textId="77777777" w:rsidR="00EF4F4E" w:rsidRDefault="00000000">
      <w:pPr>
        <w:pStyle w:val="Heading1"/>
        <w:spacing w:before="300" w:after="150"/>
      </w:pPr>
      <w:r>
        <w:t>6. Advantages and Limitations</w:t>
      </w:r>
    </w:p>
    <w:p w14:paraId="415C4267" w14:textId="77777777" w:rsidR="00EF4F4E" w:rsidRDefault="00000000">
      <w:pPr>
        <w:spacing w:after="160" w:line="276" w:lineRule="auto"/>
        <w:jc w:val="both"/>
      </w:pPr>
      <w:r>
        <w:t>Advantages:</w:t>
      </w:r>
    </w:p>
    <w:p w14:paraId="0B6C34F3" w14:textId="77777777" w:rsidR="00EF4F4E" w:rsidRDefault="00000000">
      <w:pPr>
        <w:pStyle w:val="ListParagraph"/>
        <w:numPr>
          <w:ilvl w:val="0"/>
          <w:numId w:val="2"/>
        </w:numPr>
        <w:spacing w:after="80"/>
      </w:pPr>
      <w:r>
        <w:t xml:space="preserve">Full </w:t>
      </w:r>
      <w:proofErr w:type="spellStart"/>
      <w:r>
        <w:t>parallelisation</w:t>
      </w:r>
      <w:proofErr w:type="spellEnd"/>
      <w:r>
        <w:t xml:space="preserve"> during training, since tokens are processed simultaneously rather than sequentially.</w:t>
      </w:r>
    </w:p>
    <w:p w14:paraId="51380559" w14:textId="77777777" w:rsidR="00EF4F4E" w:rsidRDefault="00000000">
      <w:pPr>
        <w:pStyle w:val="ListParagraph"/>
        <w:numPr>
          <w:ilvl w:val="0"/>
          <w:numId w:val="2"/>
        </w:numPr>
        <w:spacing w:after="80"/>
      </w:pPr>
      <w:r>
        <w:t>Superior handling of long-range dependencies compared with RNNs and LSTMs.</w:t>
      </w:r>
    </w:p>
    <w:p w14:paraId="6D321493" w14:textId="77777777" w:rsidR="00EF4F4E" w:rsidRDefault="00000000">
      <w:pPr>
        <w:pStyle w:val="ListParagraph"/>
        <w:numPr>
          <w:ilvl w:val="0"/>
          <w:numId w:val="2"/>
        </w:numPr>
        <w:spacing w:after="80"/>
      </w:pPr>
      <w:r>
        <w:t>Strong transfer learning: a single pre-trained model can be fine-tuned for many downstream tasks.</w:t>
      </w:r>
    </w:p>
    <w:p w14:paraId="354C4529" w14:textId="77777777" w:rsidR="00EF4F4E" w:rsidRDefault="00000000">
      <w:pPr>
        <w:pStyle w:val="ListParagraph"/>
        <w:numPr>
          <w:ilvl w:val="0"/>
          <w:numId w:val="2"/>
        </w:numPr>
        <w:spacing w:after="80"/>
      </w:pPr>
      <w:r>
        <w:t>Scalability: performance has continued to improve as model size and training data increase.</w:t>
      </w:r>
    </w:p>
    <w:p w14:paraId="4A06162D" w14:textId="77777777" w:rsidR="00EF4F4E" w:rsidRDefault="00000000">
      <w:pPr>
        <w:spacing w:after="160" w:line="276" w:lineRule="auto"/>
        <w:jc w:val="both"/>
      </w:pPr>
      <w:r>
        <w:t>Limitations:</w:t>
      </w:r>
    </w:p>
    <w:p w14:paraId="668DA5D8" w14:textId="77777777" w:rsidR="00EF4F4E" w:rsidRDefault="00000000">
      <w:pPr>
        <w:pStyle w:val="ListParagraph"/>
        <w:numPr>
          <w:ilvl w:val="0"/>
          <w:numId w:val="2"/>
        </w:numPr>
        <w:spacing w:after="80"/>
      </w:pPr>
      <w:r>
        <w:t>High computational and memory cost; self-attention has quadratic complexity with respect to sequence length.</w:t>
      </w:r>
    </w:p>
    <w:p w14:paraId="63204614" w14:textId="77777777" w:rsidR="00EF4F4E" w:rsidRDefault="00000000">
      <w:pPr>
        <w:pStyle w:val="ListParagraph"/>
        <w:numPr>
          <w:ilvl w:val="0"/>
          <w:numId w:val="2"/>
        </w:numPr>
        <w:spacing w:after="80"/>
      </w:pPr>
      <w:r>
        <w:t>Large data and energy requirements for pre-training, raising cost and sustainability concerns.</w:t>
      </w:r>
    </w:p>
    <w:p w14:paraId="682D5BB5" w14:textId="77777777" w:rsidR="00EF4F4E" w:rsidRDefault="00000000">
      <w:pPr>
        <w:pStyle w:val="ListParagraph"/>
        <w:numPr>
          <w:ilvl w:val="0"/>
          <w:numId w:val="2"/>
        </w:numPr>
        <w:spacing w:after="80"/>
      </w:pPr>
      <w:r>
        <w:t xml:space="preserve">Limited interpretability of very large models despite attention-based </w:t>
      </w:r>
      <w:proofErr w:type="spellStart"/>
      <w:r>
        <w:t>visualisation</w:t>
      </w:r>
      <w:proofErr w:type="spellEnd"/>
      <w:r>
        <w:t xml:space="preserve"> techniques.</w:t>
      </w:r>
    </w:p>
    <w:p w14:paraId="2F2424EB" w14:textId="77777777" w:rsidR="00EF4F4E" w:rsidRDefault="00000000">
      <w:pPr>
        <w:pStyle w:val="ListParagraph"/>
        <w:numPr>
          <w:ilvl w:val="0"/>
          <w:numId w:val="2"/>
        </w:numPr>
        <w:spacing w:after="80"/>
      </w:pPr>
      <w:r>
        <w:t>Risk of bias and factual errors (“hallucination”) inherited from training data.</w:t>
      </w:r>
    </w:p>
    <w:p w14:paraId="18A91002" w14:textId="77777777" w:rsidR="00EF4F4E" w:rsidRDefault="00000000">
      <w:pPr>
        <w:pStyle w:val="Heading1"/>
        <w:spacing w:before="300" w:after="150"/>
      </w:pPr>
      <w:r>
        <w:t>7. Recent Developments and Trends</w:t>
      </w:r>
    </w:p>
    <w:p w14:paraId="28D7DEE4" w14:textId="77777777" w:rsidR="00EF4F4E" w:rsidRDefault="00000000">
      <w:pPr>
        <w:pStyle w:val="ListParagraph"/>
        <w:numPr>
          <w:ilvl w:val="0"/>
          <w:numId w:val="2"/>
        </w:numPr>
        <w:spacing w:after="80"/>
      </w:pPr>
      <w:r>
        <w:t>Efficient attention variants (e.g., linear and sparse attention, ring attention, Infini-attention) that reduce the computational cost of processing very long contexts.</w:t>
      </w:r>
    </w:p>
    <w:p w14:paraId="7C8E9336" w14:textId="77777777" w:rsidR="00EF4F4E" w:rsidRDefault="00000000">
      <w:pPr>
        <w:pStyle w:val="ListParagraph"/>
        <w:numPr>
          <w:ilvl w:val="0"/>
          <w:numId w:val="2"/>
        </w:numPr>
        <w:spacing w:after="80"/>
      </w:pPr>
      <w:r>
        <w:t>Multimodal Transformers such as GPT-4 and later models that process text, images, audio, and video within a single architecture.</w:t>
      </w:r>
    </w:p>
    <w:p w14:paraId="04B27C47" w14:textId="77777777" w:rsidR="00EF4F4E" w:rsidRDefault="00000000">
      <w:pPr>
        <w:pStyle w:val="ListParagraph"/>
        <w:numPr>
          <w:ilvl w:val="0"/>
          <w:numId w:val="2"/>
        </w:numPr>
        <w:spacing w:after="80"/>
      </w:pPr>
      <w:r>
        <w:t>Growth of open-weight model families (e.g., Meta's Llama series) that have broadened access to Transformer-based NLP beyond proprietary providers.</w:t>
      </w:r>
    </w:p>
    <w:p w14:paraId="4E56546F" w14:textId="77777777" w:rsidR="00EF4F4E" w:rsidRDefault="00000000">
      <w:pPr>
        <w:pStyle w:val="ListParagraph"/>
        <w:numPr>
          <w:ilvl w:val="0"/>
          <w:numId w:val="2"/>
        </w:numPr>
        <w:spacing w:after="80"/>
      </w:pPr>
      <w:r>
        <w:t>Instruction-tuning and Retrieval-Augmented Generation (RAG), which combine Transformer-based generation with external knowledge retrieval to improve factual accuracy.</w:t>
      </w:r>
    </w:p>
    <w:p w14:paraId="60F1F958" w14:textId="77777777" w:rsidR="00EF4F4E" w:rsidRDefault="00000000">
      <w:pPr>
        <w:pStyle w:val="ListParagraph"/>
        <w:numPr>
          <w:ilvl w:val="0"/>
          <w:numId w:val="2"/>
        </w:numPr>
        <w:spacing w:after="80"/>
      </w:pPr>
      <w:r>
        <w:t>Continued scaling of model size alongside parallel research into smaller, distilled models for efficient edge and mobile deployment.</w:t>
      </w:r>
    </w:p>
    <w:p w14:paraId="3DF788B3" w14:textId="77777777" w:rsidR="00EF4F4E" w:rsidRDefault="00000000">
      <w:pPr>
        <w:pStyle w:val="Heading1"/>
        <w:spacing w:before="300" w:after="150"/>
      </w:pPr>
      <w:r>
        <w:t>8. Challenges and Future Scope</w:t>
      </w:r>
    </w:p>
    <w:p w14:paraId="5C440BCC" w14:textId="77777777" w:rsidR="00EF4F4E" w:rsidRDefault="00000000">
      <w:pPr>
        <w:pStyle w:val="ListParagraph"/>
        <w:numPr>
          <w:ilvl w:val="0"/>
          <w:numId w:val="2"/>
        </w:numPr>
        <w:spacing w:after="80"/>
      </w:pPr>
      <w:r>
        <w:t>Reducing the computational and energy footprint of training and serving very large Transformer models.</w:t>
      </w:r>
    </w:p>
    <w:p w14:paraId="398589F8" w14:textId="77777777" w:rsidR="00EF4F4E" w:rsidRDefault="00000000">
      <w:pPr>
        <w:pStyle w:val="ListParagraph"/>
        <w:numPr>
          <w:ilvl w:val="0"/>
          <w:numId w:val="2"/>
        </w:numPr>
        <w:spacing w:after="80"/>
      </w:pPr>
      <w:r>
        <w:t>Improving interpretability and explainability so predictions can be trusted in high-stakes domains.</w:t>
      </w:r>
    </w:p>
    <w:p w14:paraId="530AC868" w14:textId="77777777" w:rsidR="00EF4F4E" w:rsidRDefault="00000000">
      <w:pPr>
        <w:pStyle w:val="ListParagraph"/>
        <w:numPr>
          <w:ilvl w:val="0"/>
          <w:numId w:val="2"/>
        </w:numPr>
        <w:spacing w:after="80"/>
      </w:pPr>
      <w:r>
        <w:t>Mitigating bias, misinformation, and hallucination inherited from large-scale training corpora.</w:t>
      </w:r>
    </w:p>
    <w:p w14:paraId="5FB72B66" w14:textId="77777777" w:rsidR="00EF4F4E" w:rsidRDefault="00000000">
      <w:pPr>
        <w:pStyle w:val="ListParagraph"/>
        <w:numPr>
          <w:ilvl w:val="0"/>
          <w:numId w:val="2"/>
        </w:numPr>
        <w:spacing w:after="80"/>
      </w:pPr>
      <w:r>
        <w:t>Extending efficient long-context processing to support document-, book-, and codebase-scale inputs.</w:t>
      </w:r>
    </w:p>
    <w:p w14:paraId="1108DE4B" w14:textId="77777777" w:rsidR="00EF4F4E" w:rsidRDefault="00000000">
      <w:pPr>
        <w:pStyle w:val="ListParagraph"/>
        <w:numPr>
          <w:ilvl w:val="0"/>
          <w:numId w:val="2"/>
        </w:numPr>
        <w:spacing w:after="80"/>
      </w:pPr>
      <w:r>
        <w:t>Advancing multimodal and domain-</w:t>
      </w:r>
      <w:proofErr w:type="spellStart"/>
      <w:r>
        <w:t>specialised</w:t>
      </w:r>
      <w:proofErr w:type="spellEnd"/>
      <w:r>
        <w:t xml:space="preserve"> Transformers for fields such as healthcare, law, and engineering.</w:t>
      </w:r>
    </w:p>
    <w:p w14:paraId="1C44AEDA" w14:textId="77777777" w:rsidR="00EF4F4E" w:rsidRDefault="00000000">
      <w:pPr>
        <w:spacing w:after="160" w:line="276" w:lineRule="auto"/>
        <w:jc w:val="both"/>
      </w:pPr>
      <w:r>
        <w:t>The future scope of Transformer research lies in balancing continued capability gains with efficiency, safety, and interpretability, ensuring that increasingly powerful language models remain practical and trustworthy to deploy.</w:t>
      </w:r>
    </w:p>
    <w:p w14:paraId="11F49F3D" w14:textId="77777777" w:rsidR="00EF4F4E" w:rsidRDefault="00000000">
      <w:pPr>
        <w:pStyle w:val="Heading1"/>
        <w:spacing w:before="300" w:after="150"/>
      </w:pPr>
      <w:r>
        <w:t>9. Case Study / Example</w:t>
      </w:r>
    </w:p>
    <w:p w14:paraId="708DA9EB" w14:textId="77777777" w:rsidR="00EF4F4E" w:rsidRDefault="00000000">
      <w:pPr>
        <w:spacing w:after="160" w:line="276" w:lineRule="auto"/>
        <w:jc w:val="both"/>
      </w:pPr>
      <w:r>
        <w:t>A widely cited real-world deployment of Transformer-based NLP is Google's integration of BERT into its search engine, announced in 2019. Prior to this change, search ranking relied more heavily on keyword matching, which struggled with queries phrased as natural questions or containing prepositions that changed meaning (for example, distinguishing “travelling from X to Y” from “travelling from Y to X”). By using BERT's bidirectional contextual understanding, the search system could better interpret the relationship between words in a query and match it to more relevant results, improving answer quality for a significant share of search queries without requiring users to change how they phrase questions. This case illustrates how a pre-trained Transformer encoder, fine-tuned for a specific downstream ranking task, can be deployed at massive scale to improve a real product used by billions of people.</w:t>
      </w:r>
    </w:p>
    <w:p w14:paraId="05BC9682" w14:textId="77777777" w:rsidR="00EF4F4E" w:rsidRDefault="00000000">
      <w:pPr>
        <w:pStyle w:val="Heading1"/>
        <w:spacing w:before="300" w:after="150"/>
      </w:pPr>
      <w:r>
        <w:t>10. Conclusion and References</w:t>
      </w:r>
    </w:p>
    <w:p w14:paraId="2EE6AFB3" w14:textId="77777777" w:rsidR="00EF4F4E" w:rsidRDefault="00000000">
      <w:pPr>
        <w:spacing w:after="160" w:line="276" w:lineRule="auto"/>
        <w:jc w:val="both"/>
      </w:pPr>
      <w:r>
        <w:t xml:space="preserve">Transformer models have fundamentally reshaped Natural Language Processing by replacing sequential recurrence with </w:t>
      </w:r>
      <w:proofErr w:type="spellStart"/>
      <w:r>
        <w:t>parallelisable</w:t>
      </w:r>
      <w:proofErr w:type="spellEnd"/>
      <w:r>
        <w:t xml:space="preserve"> self-attention, enabling models that better capture long-range context and scale effectively with data and compute. Architectures such as BERT, the GPT family, and T5 now underpin most modern NLP applications, from search and translation to conversational AI. While challenges around computational cost, interpretability, and reliability remain, ongoing research into efficient attention mechanisms, multimodal integration, and responsible deployment continues to extend the reach and trustworthiness of Transformer-based NLP.</w:t>
      </w:r>
    </w:p>
    <w:p w14:paraId="62EF41E3" w14:textId="77777777" w:rsidR="00EF4F4E" w:rsidRDefault="00000000">
      <w:pPr>
        <w:pStyle w:val="Heading2"/>
        <w:spacing w:before="200" w:after="100"/>
      </w:pPr>
      <w:r>
        <w:t>References</w:t>
      </w:r>
    </w:p>
    <w:p w14:paraId="0FBF95D5" w14:textId="77777777" w:rsidR="00EF4F4E" w:rsidRDefault="00000000">
      <w:pPr>
        <w:spacing w:after="160" w:line="276" w:lineRule="auto"/>
        <w:jc w:val="both"/>
      </w:pPr>
      <w:r>
        <w:t>[1] Vaswani, A., et al. (2017). Attention Is All You Need. Advances in Neural Information Processing Systems (</w:t>
      </w:r>
      <w:proofErr w:type="spellStart"/>
      <w:r>
        <w:t>NeurIPS</w:t>
      </w:r>
      <w:proofErr w:type="spellEnd"/>
      <w:r>
        <w:t>).</w:t>
      </w:r>
    </w:p>
    <w:p w14:paraId="43E3C33A" w14:textId="77777777" w:rsidR="00EF4F4E" w:rsidRDefault="00000000">
      <w:pPr>
        <w:spacing w:after="160" w:line="276" w:lineRule="auto"/>
        <w:jc w:val="both"/>
      </w:pPr>
      <w:r>
        <w:t>[2] Devlin, J., Chang, M.-W., Lee, K., &amp; Toutanova, K. (2019). BERT: Pre-training of Deep Bidirectional Transformers for Language Understanding. Proceedings of NAACL-HLT.</w:t>
      </w:r>
    </w:p>
    <w:p w14:paraId="13C5606A" w14:textId="77777777" w:rsidR="00EF4F4E" w:rsidRDefault="00000000">
      <w:pPr>
        <w:spacing w:after="160" w:line="276" w:lineRule="auto"/>
        <w:jc w:val="both"/>
      </w:pPr>
      <w:r>
        <w:t>[3] Radford, A., et al. (2018–2019). Improving Language Understanding by Generative Pre-Training (GPT / GPT-2). OpenAI.</w:t>
      </w:r>
    </w:p>
    <w:p w14:paraId="16107BE8" w14:textId="77777777" w:rsidR="00EF4F4E" w:rsidRDefault="00000000">
      <w:pPr>
        <w:spacing w:after="160" w:line="276" w:lineRule="auto"/>
        <w:jc w:val="both"/>
      </w:pPr>
      <w:r>
        <w:t xml:space="preserve">[4] Yang, Z., et al. (2019). </w:t>
      </w:r>
      <w:proofErr w:type="spellStart"/>
      <w:r>
        <w:t>XLNet</w:t>
      </w:r>
      <w:proofErr w:type="spellEnd"/>
      <w:r>
        <w:t xml:space="preserve">: Generalized Autoregressive Pretraining for Language Understanding. </w:t>
      </w:r>
      <w:proofErr w:type="spellStart"/>
      <w:r>
        <w:t>NeurIPS</w:t>
      </w:r>
      <w:proofErr w:type="spellEnd"/>
      <w:r>
        <w:t>.</w:t>
      </w:r>
    </w:p>
    <w:p w14:paraId="116E2C01" w14:textId="77777777" w:rsidR="00EF4F4E" w:rsidRDefault="00000000">
      <w:pPr>
        <w:spacing w:after="160" w:line="276" w:lineRule="auto"/>
        <w:jc w:val="both"/>
      </w:pPr>
      <w:r>
        <w:t>[5] Raffel, C., et al. (2019). Exploring the Limits of Transfer Learning with a Unified Text-to-Text Transformer (T5). Journal of Machine Learning Research.</w:t>
      </w:r>
    </w:p>
    <w:p w14:paraId="4A9AE918" w14:textId="77777777" w:rsidR="00EF4F4E" w:rsidRDefault="00000000">
      <w:pPr>
        <w:spacing w:after="160" w:line="276" w:lineRule="auto"/>
        <w:jc w:val="both"/>
      </w:pPr>
      <w:r>
        <w:t xml:space="preserve">[6] Topal, M. O., Bas, A., &amp; van Heerden, I. Exploring Transformers in Natural Language Generation: GPT, BERT, and </w:t>
      </w:r>
      <w:proofErr w:type="spellStart"/>
      <w:r>
        <w:t>XLNet</w:t>
      </w:r>
      <w:proofErr w:type="spellEnd"/>
      <w:r>
        <w:t>. arXiv:2102.08036.</w:t>
      </w:r>
    </w:p>
    <w:p w14:paraId="33ED298B" w14:textId="77777777" w:rsidR="00EF4F4E" w:rsidRDefault="00000000">
      <w:pPr>
        <w:spacing w:after="160" w:line="276" w:lineRule="auto"/>
        <w:jc w:val="both"/>
      </w:pPr>
      <w:r>
        <w:t>[7] Wu, T., Wang, Y., &amp; Quach, N. Advancements in Natural Language Processing: Exploring Transformer-Based Architectures for Text Understanding. arXiv:2503.20227.</w:t>
      </w:r>
    </w:p>
    <w:p w14:paraId="2C5F7B96" w14:textId="77777777" w:rsidR="00EF4F4E" w:rsidRDefault="00000000">
      <w:pPr>
        <w:spacing w:after="160" w:line="276" w:lineRule="auto"/>
        <w:jc w:val="both"/>
      </w:pPr>
      <w:r>
        <w:t xml:space="preserve">[8] </w:t>
      </w:r>
      <w:proofErr w:type="spellStart"/>
      <w:r>
        <w:t>Netguru</w:t>
      </w:r>
      <w:proofErr w:type="spellEnd"/>
      <w:r>
        <w:t>. Transformer Models in Natural Language Processing (2026).</w:t>
      </w:r>
    </w:p>
    <w:p w14:paraId="6614E4E9" w14:textId="77777777" w:rsidR="00EF4F4E" w:rsidRDefault="00000000">
      <w:pPr>
        <w:spacing w:after="160" w:line="276" w:lineRule="auto"/>
        <w:jc w:val="both"/>
      </w:pPr>
      <w:r>
        <w:t xml:space="preserve">[9] </w:t>
      </w:r>
      <w:proofErr w:type="spellStart"/>
      <w:r>
        <w:t>DataCamp</w:t>
      </w:r>
      <w:proofErr w:type="spellEnd"/>
      <w:r>
        <w:t>. How Transformers Work: A Detailed Exploration of Transformer Architecture (2026).</w:t>
      </w:r>
    </w:p>
    <w:sectPr w:rsidR="00EF4F4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36C85"/>
    <w:multiLevelType w:val="hybridMultilevel"/>
    <w:tmpl w:val="FFDE934C"/>
    <w:lvl w:ilvl="0" w:tplc="4D1A4036">
      <w:start w:val="1"/>
      <w:numFmt w:val="bullet"/>
      <w:lvlText w:val="•"/>
      <w:lvlJc w:val="left"/>
      <w:pPr>
        <w:ind w:left="720" w:hanging="360"/>
      </w:pPr>
    </w:lvl>
    <w:lvl w:ilvl="1" w:tplc="A8707D9C">
      <w:numFmt w:val="decimal"/>
      <w:lvlText w:val=""/>
      <w:lvlJc w:val="left"/>
    </w:lvl>
    <w:lvl w:ilvl="2" w:tplc="626C2DD2">
      <w:numFmt w:val="decimal"/>
      <w:lvlText w:val=""/>
      <w:lvlJc w:val="left"/>
    </w:lvl>
    <w:lvl w:ilvl="3" w:tplc="27F0983A">
      <w:numFmt w:val="decimal"/>
      <w:lvlText w:val=""/>
      <w:lvlJc w:val="left"/>
    </w:lvl>
    <w:lvl w:ilvl="4" w:tplc="8CB8EFF4">
      <w:numFmt w:val="decimal"/>
      <w:lvlText w:val=""/>
      <w:lvlJc w:val="left"/>
    </w:lvl>
    <w:lvl w:ilvl="5" w:tplc="0E485654">
      <w:numFmt w:val="decimal"/>
      <w:lvlText w:val=""/>
      <w:lvlJc w:val="left"/>
    </w:lvl>
    <w:lvl w:ilvl="6" w:tplc="4420105E">
      <w:numFmt w:val="decimal"/>
      <w:lvlText w:val=""/>
      <w:lvlJc w:val="left"/>
    </w:lvl>
    <w:lvl w:ilvl="7" w:tplc="6116EA90">
      <w:numFmt w:val="decimal"/>
      <w:lvlText w:val=""/>
      <w:lvlJc w:val="left"/>
    </w:lvl>
    <w:lvl w:ilvl="8" w:tplc="1A4C3F54">
      <w:numFmt w:val="decimal"/>
      <w:lvlText w:val=""/>
      <w:lvlJc w:val="left"/>
    </w:lvl>
  </w:abstractNum>
  <w:abstractNum w:abstractNumId="1" w15:restartNumberingAfterBreak="0">
    <w:nsid w:val="62CF619F"/>
    <w:multiLevelType w:val="hybridMultilevel"/>
    <w:tmpl w:val="13DC2434"/>
    <w:lvl w:ilvl="0" w:tplc="2F0A0F28">
      <w:start w:val="1"/>
      <w:numFmt w:val="bullet"/>
      <w:lvlText w:val="●"/>
      <w:lvlJc w:val="left"/>
      <w:pPr>
        <w:ind w:left="720" w:hanging="360"/>
      </w:pPr>
    </w:lvl>
    <w:lvl w:ilvl="1" w:tplc="DC3217D6">
      <w:start w:val="1"/>
      <w:numFmt w:val="bullet"/>
      <w:lvlText w:val="○"/>
      <w:lvlJc w:val="left"/>
      <w:pPr>
        <w:ind w:left="1440" w:hanging="360"/>
      </w:pPr>
    </w:lvl>
    <w:lvl w:ilvl="2" w:tplc="B9FA1A44">
      <w:start w:val="1"/>
      <w:numFmt w:val="bullet"/>
      <w:lvlText w:val="■"/>
      <w:lvlJc w:val="left"/>
      <w:pPr>
        <w:ind w:left="2160" w:hanging="360"/>
      </w:pPr>
    </w:lvl>
    <w:lvl w:ilvl="3" w:tplc="E61687D4">
      <w:start w:val="1"/>
      <w:numFmt w:val="bullet"/>
      <w:lvlText w:val="●"/>
      <w:lvlJc w:val="left"/>
      <w:pPr>
        <w:ind w:left="2880" w:hanging="360"/>
      </w:pPr>
    </w:lvl>
    <w:lvl w:ilvl="4" w:tplc="51164AEE">
      <w:start w:val="1"/>
      <w:numFmt w:val="bullet"/>
      <w:lvlText w:val="○"/>
      <w:lvlJc w:val="left"/>
      <w:pPr>
        <w:ind w:left="3600" w:hanging="360"/>
      </w:pPr>
    </w:lvl>
    <w:lvl w:ilvl="5" w:tplc="074A074E">
      <w:start w:val="1"/>
      <w:numFmt w:val="bullet"/>
      <w:lvlText w:val="■"/>
      <w:lvlJc w:val="left"/>
      <w:pPr>
        <w:ind w:left="4320" w:hanging="360"/>
      </w:pPr>
    </w:lvl>
    <w:lvl w:ilvl="6" w:tplc="A87AF184">
      <w:start w:val="1"/>
      <w:numFmt w:val="bullet"/>
      <w:lvlText w:val="●"/>
      <w:lvlJc w:val="left"/>
      <w:pPr>
        <w:ind w:left="5040" w:hanging="360"/>
      </w:pPr>
    </w:lvl>
    <w:lvl w:ilvl="7" w:tplc="DCE24954">
      <w:start w:val="1"/>
      <w:numFmt w:val="bullet"/>
      <w:lvlText w:val="●"/>
      <w:lvlJc w:val="left"/>
      <w:pPr>
        <w:ind w:left="5760" w:hanging="360"/>
      </w:pPr>
    </w:lvl>
    <w:lvl w:ilvl="8" w:tplc="A950EA90">
      <w:start w:val="1"/>
      <w:numFmt w:val="bullet"/>
      <w:lvlText w:val="●"/>
      <w:lvlJc w:val="left"/>
      <w:pPr>
        <w:ind w:left="6480" w:hanging="360"/>
      </w:pPr>
    </w:lvl>
  </w:abstractNum>
  <w:num w:numId="1" w16cid:durableId="1811903007">
    <w:abstractNumId w:val="1"/>
    <w:lvlOverride w:ilvl="0">
      <w:startOverride w:val="1"/>
    </w:lvlOverride>
  </w:num>
  <w:num w:numId="2" w16cid:durableId="158810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F4E"/>
    <w:rsid w:val="00493EBF"/>
    <w:rsid w:val="00657886"/>
    <w:rsid w:val="00EF4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DAA47"/>
  <w15:docId w15:val="{6068E914-4FCA-45FF-81E4-FEF42151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1675</Words>
  <Characters>9554</Characters>
  <Application>Microsoft Office Word</Application>
  <DocSecurity>0</DocSecurity>
  <Lines>79</Lines>
  <Paragraphs>22</Paragraphs>
  <ScaleCrop>false</ScaleCrop>
  <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Kumar Reddy Kadiveti</cp:lastModifiedBy>
  <cp:revision>2</cp:revision>
  <dcterms:created xsi:type="dcterms:W3CDTF">2026-08-22T04:14:00Z</dcterms:created>
  <dcterms:modified xsi:type="dcterms:W3CDTF">2026-08-22T04:18:00Z</dcterms:modified>
</cp:coreProperties>
</file>