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D576B" w14:textId="77777777" w:rsidR="00604AC1" w:rsidRPr="00313FB4" w:rsidRDefault="00000000">
      <w:pPr>
        <w:pStyle w:val="Heading1"/>
        <w:pBdr>
          <w:bottom w:val="single" w:sz="6" w:space="4" w:color="2F5496"/>
        </w:pBdr>
        <w:spacing w:before="320" w:after="160"/>
        <w:rPr>
          <w:color w:val="000000" w:themeColor="text1"/>
        </w:rPr>
      </w:pPr>
      <w:r w:rsidRPr="00313FB4">
        <w:rPr>
          <w:b/>
          <w:bCs/>
          <w:color w:val="000000" w:themeColor="text1"/>
        </w:rPr>
        <w:t>1. System Requirement Analysis</w:t>
      </w:r>
    </w:p>
    <w:p w14:paraId="5F1F4E81" w14:textId="77777777" w:rsidR="00604AC1" w:rsidRPr="00313FB4" w:rsidRDefault="00000000">
      <w:pPr>
        <w:pStyle w:val="Heading2"/>
        <w:spacing w:before="240" w:after="120"/>
        <w:rPr>
          <w:color w:val="000000" w:themeColor="text1"/>
        </w:rPr>
      </w:pPr>
      <w:r w:rsidRPr="00313FB4">
        <w:rPr>
          <w:b/>
          <w:bCs/>
          <w:color w:val="000000" w:themeColor="text1"/>
        </w:rPr>
        <w:t>1.1 System Objectives</w:t>
      </w:r>
    </w:p>
    <w:p w14:paraId="4F139244" w14:textId="77777777" w:rsidR="00604AC1" w:rsidRPr="00313FB4" w:rsidRDefault="00000000">
      <w:pPr>
        <w:spacing w:after="160" w:line="300" w:lineRule="auto"/>
        <w:jc w:val="both"/>
        <w:rPr>
          <w:color w:val="000000" w:themeColor="text1"/>
        </w:rPr>
      </w:pPr>
      <w:r w:rsidRPr="00313FB4">
        <w:rPr>
          <w:color w:val="000000" w:themeColor="text1"/>
        </w:rPr>
        <w:t>The platform must continuously monitor railway assets, detect infrastructure defects using AI, predict maintenance requirements ahead of failure, monitor track and bridge conditions, prioritize maintenance schedules by risk, generate asset performance reports, and ultimately improve railway safety while reducing maintenance costs and service interruptions.</w:t>
      </w:r>
    </w:p>
    <w:p w14:paraId="3CDF07A8" w14:textId="77777777" w:rsidR="00604AC1" w:rsidRPr="00313FB4" w:rsidRDefault="00000000">
      <w:pPr>
        <w:pStyle w:val="Heading2"/>
        <w:spacing w:before="240" w:after="120"/>
        <w:rPr>
          <w:color w:val="000000" w:themeColor="text1"/>
        </w:rPr>
      </w:pPr>
      <w:r w:rsidRPr="00313FB4">
        <w:rPr>
          <w:b/>
          <w:bCs/>
          <w:color w:val="000000" w:themeColor="text1"/>
        </w:rPr>
        <w:t xml:space="preserve">1.2 Requirements Influencing </w:t>
      </w:r>
      <w:proofErr w:type="gramStart"/>
      <w:r w:rsidRPr="00313FB4">
        <w:rPr>
          <w:b/>
          <w:bCs/>
          <w:color w:val="000000" w:themeColor="text1"/>
        </w:rPr>
        <w:t>the Architecture</w:t>
      </w:r>
      <w:proofErr w:type="gramEnd"/>
    </w:p>
    <w:p w14:paraId="53358069" w14:textId="77777777" w:rsidR="00604AC1" w:rsidRPr="00313FB4" w:rsidRDefault="00000000">
      <w:pPr>
        <w:pStyle w:val="ListParagraph"/>
        <w:numPr>
          <w:ilvl w:val="0"/>
          <w:numId w:val="2"/>
        </w:numPr>
        <w:spacing w:after="80" w:line="280" w:lineRule="auto"/>
        <w:rPr>
          <w:color w:val="000000" w:themeColor="text1"/>
        </w:rPr>
      </w:pPr>
      <w:r w:rsidRPr="00313FB4">
        <w:rPr>
          <w:b/>
          <w:bCs/>
          <w:color w:val="000000" w:themeColor="text1"/>
        </w:rPr>
        <w:t xml:space="preserve">High-volume, continuous data ingestion — </w:t>
      </w:r>
      <w:r w:rsidRPr="00313FB4">
        <w:rPr>
          <w:color w:val="000000" w:themeColor="text1"/>
        </w:rPr>
        <w:t>thousands of distributed sensors and periodic drone imagery generate a constant stream of heterogeneous data, requiring an architecture built around asynchronous, event-driven ingestion rather than simple request/response.</w:t>
      </w:r>
    </w:p>
    <w:p w14:paraId="468C27D1" w14:textId="77777777" w:rsidR="00604AC1" w:rsidRPr="00313FB4" w:rsidRDefault="00000000">
      <w:pPr>
        <w:pStyle w:val="ListParagraph"/>
        <w:numPr>
          <w:ilvl w:val="0"/>
          <w:numId w:val="2"/>
        </w:numPr>
        <w:spacing w:after="80" w:line="280" w:lineRule="auto"/>
        <w:rPr>
          <w:color w:val="000000" w:themeColor="text1"/>
        </w:rPr>
      </w:pPr>
      <w:r w:rsidRPr="00313FB4">
        <w:rPr>
          <w:b/>
          <w:bCs/>
          <w:color w:val="000000" w:themeColor="text1"/>
        </w:rPr>
        <w:t xml:space="preserve">Computationally intensive AI/ML workloads — </w:t>
      </w:r>
      <w:r w:rsidRPr="00313FB4">
        <w:rPr>
          <w:color w:val="000000" w:themeColor="text1"/>
        </w:rPr>
        <w:t>anomaly detection, computer vision, and predictive analytics require independently scalable processing, favoring service isolation over a single monolithic codebase.</w:t>
      </w:r>
    </w:p>
    <w:p w14:paraId="09E05771" w14:textId="77777777" w:rsidR="00604AC1" w:rsidRPr="00313FB4" w:rsidRDefault="00000000">
      <w:pPr>
        <w:pStyle w:val="ListParagraph"/>
        <w:numPr>
          <w:ilvl w:val="0"/>
          <w:numId w:val="2"/>
        </w:numPr>
        <w:spacing w:after="80" w:line="280" w:lineRule="auto"/>
        <w:rPr>
          <w:color w:val="000000" w:themeColor="text1"/>
        </w:rPr>
      </w:pPr>
      <w:r w:rsidRPr="00313FB4">
        <w:rPr>
          <w:b/>
          <w:bCs/>
          <w:color w:val="000000" w:themeColor="text1"/>
        </w:rPr>
        <w:t xml:space="preserve">Safety-critical, low-latency alerting — </w:t>
      </w:r>
      <w:r w:rsidRPr="00313FB4">
        <w:rPr>
          <w:color w:val="000000" w:themeColor="text1"/>
        </w:rPr>
        <w:t>critical faults must be surfaced to control room operators within seconds, demanding a low-latency path from detection to notification.</w:t>
      </w:r>
    </w:p>
    <w:p w14:paraId="7E874DB5" w14:textId="77777777" w:rsidR="00604AC1" w:rsidRPr="00313FB4" w:rsidRDefault="00000000">
      <w:pPr>
        <w:pStyle w:val="ListParagraph"/>
        <w:numPr>
          <w:ilvl w:val="0"/>
          <w:numId w:val="2"/>
        </w:numPr>
        <w:spacing w:after="80" w:line="280" w:lineRule="auto"/>
        <w:rPr>
          <w:color w:val="000000" w:themeColor="text1"/>
        </w:rPr>
      </w:pPr>
      <w:r w:rsidRPr="00313FB4">
        <w:rPr>
          <w:b/>
          <w:bCs/>
          <w:color w:val="000000" w:themeColor="text1"/>
        </w:rPr>
        <w:t xml:space="preserve">Integration with legacy OT systems — </w:t>
      </w:r>
      <w:r w:rsidRPr="00313FB4">
        <w:rPr>
          <w:color w:val="000000" w:themeColor="text1"/>
        </w:rPr>
        <w:t>SCADA and signaling systems were not designed for cloud integration, requiring a well-defined API/gateway boundary between operational technology and the new platform.</w:t>
      </w:r>
    </w:p>
    <w:p w14:paraId="27BD19C8" w14:textId="77777777" w:rsidR="00604AC1" w:rsidRPr="00313FB4" w:rsidRDefault="00000000">
      <w:pPr>
        <w:pStyle w:val="ListParagraph"/>
        <w:numPr>
          <w:ilvl w:val="0"/>
          <w:numId w:val="2"/>
        </w:numPr>
        <w:spacing w:after="80" w:line="280" w:lineRule="auto"/>
        <w:rPr>
          <w:color w:val="000000" w:themeColor="text1"/>
        </w:rPr>
      </w:pPr>
      <w:r w:rsidRPr="00313FB4">
        <w:rPr>
          <w:b/>
          <w:bCs/>
          <w:color w:val="000000" w:themeColor="text1"/>
        </w:rPr>
        <w:t xml:space="preserve">Geographic distribution — </w:t>
      </w:r>
      <w:r w:rsidRPr="00313FB4">
        <w:rPr>
          <w:color w:val="000000" w:themeColor="text1"/>
        </w:rPr>
        <w:t>railway assets span wide geographic areas with variable connectivity, requiring edge pre-processing and resilient communication.</w:t>
      </w:r>
    </w:p>
    <w:p w14:paraId="1C92DF68" w14:textId="77777777" w:rsidR="00604AC1" w:rsidRPr="00313FB4" w:rsidRDefault="00000000">
      <w:pPr>
        <w:pStyle w:val="Heading2"/>
        <w:spacing w:before="240" w:after="120"/>
        <w:rPr>
          <w:color w:val="000000" w:themeColor="text1"/>
        </w:rPr>
      </w:pPr>
      <w:r w:rsidRPr="00313FB4">
        <w:rPr>
          <w:b/>
          <w:bCs/>
          <w:color w:val="000000" w:themeColor="text1"/>
        </w:rPr>
        <w:t>1.3 Key Quality Attributes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600"/>
        <w:gridCol w:w="6900"/>
      </w:tblGrid>
      <w:tr w:rsidR="00604AC1" w:rsidRPr="00313FB4" w14:paraId="07622330" w14:textId="77777777" w:rsidTr="00313FB4">
        <w:tblPrEx>
          <w:tblCellMar>
            <w:top w:w="0" w:type="dxa"/>
            <w:bottom w:w="0" w:type="dxa"/>
          </w:tblCellMar>
        </w:tblPrEx>
        <w:trPr>
          <w:tblHeader/>
        </w:trPr>
        <w:tc>
          <w:tcPr>
            <w:tcW w:w="2600" w:type="dxa"/>
            <w:shd w:val="clear" w:color="auto" w:fill="FFFFFF" w:themeFill="background1"/>
            <w:tcMar>
              <w:top w:w="80" w:type="dxa"/>
              <w:left w:w="120" w:type="dxa"/>
              <w:bottom w:w="80" w:type="dxa"/>
              <w:right w:w="120" w:type="dxa"/>
            </w:tcMar>
            <w:vAlign w:val="center"/>
          </w:tcPr>
          <w:p w14:paraId="499152C7" w14:textId="77777777" w:rsidR="00604AC1" w:rsidRPr="00313FB4" w:rsidRDefault="00000000">
            <w:pPr>
              <w:rPr>
                <w:color w:val="000000" w:themeColor="text1"/>
              </w:rPr>
            </w:pPr>
            <w:r w:rsidRPr="00313FB4">
              <w:rPr>
                <w:b/>
                <w:bCs/>
                <w:color w:val="000000" w:themeColor="text1"/>
              </w:rPr>
              <w:t>Quality Attribute</w:t>
            </w:r>
          </w:p>
        </w:tc>
        <w:tc>
          <w:tcPr>
            <w:tcW w:w="6900" w:type="dxa"/>
            <w:shd w:val="clear" w:color="auto" w:fill="FFFFFF" w:themeFill="background1"/>
            <w:tcMar>
              <w:top w:w="80" w:type="dxa"/>
              <w:left w:w="120" w:type="dxa"/>
              <w:bottom w:w="80" w:type="dxa"/>
              <w:right w:w="120" w:type="dxa"/>
            </w:tcMar>
            <w:vAlign w:val="center"/>
          </w:tcPr>
          <w:p w14:paraId="67216665" w14:textId="77777777" w:rsidR="00604AC1" w:rsidRPr="00313FB4" w:rsidRDefault="00000000">
            <w:pPr>
              <w:rPr>
                <w:color w:val="000000" w:themeColor="text1"/>
              </w:rPr>
            </w:pPr>
            <w:r w:rsidRPr="00313FB4">
              <w:rPr>
                <w:b/>
                <w:bCs/>
                <w:color w:val="000000" w:themeColor="text1"/>
              </w:rPr>
              <w:t>Why It Matters Here</w:t>
            </w:r>
          </w:p>
        </w:tc>
      </w:tr>
      <w:tr w:rsidR="00604AC1" w:rsidRPr="00313FB4" w14:paraId="5E7CC2F7" w14:textId="77777777" w:rsidTr="00313FB4">
        <w:tblPrEx>
          <w:tblCellMar>
            <w:top w:w="0" w:type="dxa"/>
            <w:bottom w:w="0" w:type="dxa"/>
          </w:tblCellMar>
        </w:tblPrEx>
        <w:tc>
          <w:tcPr>
            <w:tcW w:w="2600" w:type="dxa"/>
            <w:shd w:val="clear" w:color="auto" w:fill="FFFFFF" w:themeFill="background1"/>
            <w:tcMar>
              <w:top w:w="80" w:type="dxa"/>
              <w:left w:w="120" w:type="dxa"/>
              <w:bottom w:w="80" w:type="dxa"/>
              <w:right w:w="120" w:type="dxa"/>
            </w:tcMar>
            <w:vAlign w:val="center"/>
          </w:tcPr>
          <w:p w14:paraId="5AEC8A87" w14:textId="77777777" w:rsidR="00604AC1" w:rsidRPr="00313FB4" w:rsidRDefault="00000000">
            <w:pPr>
              <w:rPr>
                <w:color w:val="000000" w:themeColor="text1"/>
              </w:rPr>
            </w:pPr>
            <w:r w:rsidRPr="00313FB4">
              <w:rPr>
                <w:color w:val="000000" w:themeColor="text1"/>
              </w:rPr>
              <w:t>Scalability</w:t>
            </w:r>
          </w:p>
        </w:tc>
        <w:tc>
          <w:tcPr>
            <w:tcW w:w="6900" w:type="dxa"/>
            <w:shd w:val="clear" w:color="auto" w:fill="FFFFFF" w:themeFill="background1"/>
            <w:tcMar>
              <w:top w:w="80" w:type="dxa"/>
              <w:left w:w="120" w:type="dxa"/>
              <w:bottom w:w="80" w:type="dxa"/>
              <w:right w:w="120" w:type="dxa"/>
            </w:tcMar>
            <w:vAlign w:val="center"/>
          </w:tcPr>
          <w:p w14:paraId="3F8B4FAF" w14:textId="77777777" w:rsidR="00604AC1" w:rsidRPr="00313FB4" w:rsidRDefault="00000000">
            <w:pPr>
              <w:rPr>
                <w:color w:val="000000" w:themeColor="text1"/>
              </w:rPr>
            </w:pPr>
            <w:r w:rsidRPr="00313FB4">
              <w:rPr>
                <w:color w:val="000000" w:themeColor="text1"/>
              </w:rPr>
              <w:t>Sensor and drone count will grow over time; the platform must absorb increasing data volume and processing load.</w:t>
            </w:r>
          </w:p>
        </w:tc>
      </w:tr>
      <w:tr w:rsidR="00604AC1" w:rsidRPr="00313FB4" w14:paraId="1347826C" w14:textId="77777777" w:rsidTr="00313FB4">
        <w:tblPrEx>
          <w:tblCellMar>
            <w:top w:w="0" w:type="dxa"/>
            <w:bottom w:w="0" w:type="dxa"/>
          </w:tblCellMar>
        </w:tblPrEx>
        <w:tc>
          <w:tcPr>
            <w:tcW w:w="2600" w:type="dxa"/>
            <w:shd w:val="clear" w:color="auto" w:fill="FFFFFF" w:themeFill="background1"/>
            <w:tcMar>
              <w:top w:w="80" w:type="dxa"/>
              <w:left w:w="120" w:type="dxa"/>
              <w:bottom w:w="80" w:type="dxa"/>
              <w:right w:w="120" w:type="dxa"/>
            </w:tcMar>
            <w:vAlign w:val="center"/>
          </w:tcPr>
          <w:p w14:paraId="73506820" w14:textId="77777777" w:rsidR="00604AC1" w:rsidRPr="00313FB4" w:rsidRDefault="00000000">
            <w:pPr>
              <w:rPr>
                <w:color w:val="000000" w:themeColor="text1"/>
              </w:rPr>
            </w:pPr>
            <w:r w:rsidRPr="00313FB4">
              <w:rPr>
                <w:color w:val="000000" w:themeColor="text1"/>
              </w:rPr>
              <w:t>Maintainability</w:t>
            </w:r>
          </w:p>
        </w:tc>
        <w:tc>
          <w:tcPr>
            <w:tcW w:w="6900" w:type="dxa"/>
            <w:shd w:val="clear" w:color="auto" w:fill="FFFFFF" w:themeFill="background1"/>
            <w:tcMar>
              <w:top w:w="80" w:type="dxa"/>
              <w:left w:w="120" w:type="dxa"/>
              <w:bottom w:w="80" w:type="dxa"/>
              <w:right w:w="120" w:type="dxa"/>
            </w:tcMar>
            <w:vAlign w:val="center"/>
          </w:tcPr>
          <w:p w14:paraId="6EB79121" w14:textId="77777777" w:rsidR="00604AC1" w:rsidRPr="00313FB4" w:rsidRDefault="00000000">
            <w:pPr>
              <w:rPr>
                <w:color w:val="000000" w:themeColor="text1"/>
              </w:rPr>
            </w:pPr>
            <w:r w:rsidRPr="00313FB4">
              <w:rPr>
                <w:color w:val="000000" w:themeColor="text1"/>
              </w:rPr>
              <w:t>AI models require frequent retraining/updates; services must be independently deployable.</w:t>
            </w:r>
          </w:p>
        </w:tc>
      </w:tr>
      <w:tr w:rsidR="00604AC1" w:rsidRPr="00313FB4" w14:paraId="2822BB96" w14:textId="77777777" w:rsidTr="00313FB4">
        <w:tblPrEx>
          <w:tblCellMar>
            <w:top w:w="0" w:type="dxa"/>
            <w:bottom w:w="0" w:type="dxa"/>
          </w:tblCellMar>
        </w:tblPrEx>
        <w:tc>
          <w:tcPr>
            <w:tcW w:w="2600" w:type="dxa"/>
            <w:shd w:val="clear" w:color="auto" w:fill="FFFFFF" w:themeFill="background1"/>
            <w:tcMar>
              <w:top w:w="80" w:type="dxa"/>
              <w:left w:w="120" w:type="dxa"/>
              <w:bottom w:w="80" w:type="dxa"/>
              <w:right w:w="120" w:type="dxa"/>
            </w:tcMar>
            <w:vAlign w:val="center"/>
          </w:tcPr>
          <w:p w14:paraId="39631E36" w14:textId="77777777" w:rsidR="00604AC1" w:rsidRPr="00313FB4" w:rsidRDefault="00000000">
            <w:pPr>
              <w:rPr>
                <w:color w:val="000000" w:themeColor="text1"/>
              </w:rPr>
            </w:pPr>
            <w:r w:rsidRPr="00313FB4">
              <w:rPr>
                <w:color w:val="000000" w:themeColor="text1"/>
              </w:rPr>
              <w:t>Reliability</w:t>
            </w:r>
          </w:p>
        </w:tc>
        <w:tc>
          <w:tcPr>
            <w:tcW w:w="6900" w:type="dxa"/>
            <w:shd w:val="clear" w:color="auto" w:fill="FFFFFF" w:themeFill="background1"/>
            <w:tcMar>
              <w:top w:w="80" w:type="dxa"/>
              <w:left w:w="120" w:type="dxa"/>
              <w:bottom w:w="80" w:type="dxa"/>
              <w:right w:w="120" w:type="dxa"/>
            </w:tcMar>
            <w:vAlign w:val="center"/>
          </w:tcPr>
          <w:p w14:paraId="2A8AC134" w14:textId="77777777" w:rsidR="00604AC1" w:rsidRPr="00313FB4" w:rsidRDefault="00000000">
            <w:pPr>
              <w:rPr>
                <w:color w:val="000000" w:themeColor="text1"/>
              </w:rPr>
            </w:pPr>
            <w:r w:rsidRPr="00313FB4">
              <w:rPr>
                <w:color w:val="000000" w:themeColor="text1"/>
              </w:rPr>
              <w:t>Missed or false anomaly detections directly affect railway safety outcomes.</w:t>
            </w:r>
          </w:p>
        </w:tc>
      </w:tr>
      <w:tr w:rsidR="00604AC1" w:rsidRPr="00313FB4" w14:paraId="28E46BA1" w14:textId="77777777" w:rsidTr="00313FB4">
        <w:tblPrEx>
          <w:tblCellMar>
            <w:top w:w="0" w:type="dxa"/>
            <w:bottom w:w="0" w:type="dxa"/>
          </w:tblCellMar>
        </w:tblPrEx>
        <w:tc>
          <w:tcPr>
            <w:tcW w:w="2600" w:type="dxa"/>
            <w:shd w:val="clear" w:color="auto" w:fill="FFFFFF" w:themeFill="background1"/>
            <w:tcMar>
              <w:top w:w="80" w:type="dxa"/>
              <w:left w:w="120" w:type="dxa"/>
              <w:bottom w:w="80" w:type="dxa"/>
              <w:right w:w="120" w:type="dxa"/>
            </w:tcMar>
            <w:vAlign w:val="center"/>
          </w:tcPr>
          <w:p w14:paraId="57833F36" w14:textId="77777777" w:rsidR="00604AC1" w:rsidRPr="00313FB4" w:rsidRDefault="00000000">
            <w:pPr>
              <w:rPr>
                <w:color w:val="000000" w:themeColor="text1"/>
              </w:rPr>
            </w:pPr>
            <w:r w:rsidRPr="00313FB4">
              <w:rPr>
                <w:color w:val="000000" w:themeColor="text1"/>
              </w:rPr>
              <w:t>Availability</w:t>
            </w:r>
          </w:p>
        </w:tc>
        <w:tc>
          <w:tcPr>
            <w:tcW w:w="6900" w:type="dxa"/>
            <w:shd w:val="clear" w:color="auto" w:fill="FFFFFF" w:themeFill="background1"/>
            <w:tcMar>
              <w:top w:w="80" w:type="dxa"/>
              <w:left w:w="120" w:type="dxa"/>
              <w:bottom w:w="80" w:type="dxa"/>
              <w:right w:w="120" w:type="dxa"/>
            </w:tcMar>
            <w:vAlign w:val="center"/>
          </w:tcPr>
          <w:p w14:paraId="611CCCA9" w14:textId="77777777" w:rsidR="00604AC1" w:rsidRPr="00313FB4" w:rsidRDefault="00000000">
            <w:pPr>
              <w:rPr>
                <w:color w:val="000000" w:themeColor="text1"/>
              </w:rPr>
            </w:pPr>
            <w:r w:rsidRPr="00313FB4">
              <w:rPr>
                <w:color w:val="000000" w:themeColor="text1"/>
              </w:rPr>
              <w:t>Continuous railway operations require near-continuous monitoring uptime.</w:t>
            </w:r>
          </w:p>
        </w:tc>
      </w:tr>
      <w:tr w:rsidR="00604AC1" w:rsidRPr="00313FB4" w14:paraId="122156D8" w14:textId="77777777" w:rsidTr="00313FB4">
        <w:tblPrEx>
          <w:tblCellMar>
            <w:top w:w="0" w:type="dxa"/>
            <w:bottom w:w="0" w:type="dxa"/>
          </w:tblCellMar>
        </w:tblPrEx>
        <w:tc>
          <w:tcPr>
            <w:tcW w:w="2600" w:type="dxa"/>
            <w:shd w:val="clear" w:color="auto" w:fill="FFFFFF" w:themeFill="background1"/>
            <w:tcMar>
              <w:top w:w="80" w:type="dxa"/>
              <w:left w:w="120" w:type="dxa"/>
              <w:bottom w:w="80" w:type="dxa"/>
              <w:right w:w="120" w:type="dxa"/>
            </w:tcMar>
            <w:vAlign w:val="center"/>
          </w:tcPr>
          <w:p w14:paraId="5E01B91B" w14:textId="77777777" w:rsidR="00604AC1" w:rsidRPr="00313FB4" w:rsidRDefault="00000000">
            <w:pPr>
              <w:rPr>
                <w:color w:val="000000" w:themeColor="text1"/>
              </w:rPr>
            </w:pPr>
            <w:r w:rsidRPr="00313FB4">
              <w:rPr>
                <w:color w:val="000000" w:themeColor="text1"/>
              </w:rPr>
              <w:t>Performance</w:t>
            </w:r>
          </w:p>
        </w:tc>
        <w:tc>
          <w:tcPr>
            <w:tcW w:w="6900" w:type="dxa"/>
            <w:shd w:val="clear" w:color="auto" w:fill="FFFFFF" w:themeFill="background1"/>
            <w:tcMar>
              <w:top w:w="80" w:type="dxa"/>
              <w:left w:w="120" w:type="dxa"/>
              <w:bottom w:w="80" w:type="dxa"/>
              <w:right w:w="120" w:type="dxa"/>
            </w:tcMar>
            <w:vAlign w:val="center"/>
          </w:tcPr>
          <w:p w14:paraId="032734CD" w14:textId="77777777" w:rsidR="00604AC1" w:rsidRPr="00313FB4" w:rsidRDefault="00000000">
            <w:pPr>
              <w:rPr>
                <w:color w:val="000000" w:themeColor="text1"/>
              </w:rPr>
            </w:pPr>
            <w:r w:rsidRPr="00313FB4">
              <w:rPr>
                <w:color w:val="000000" w:themeColor="text1"/>
              </w:rPr>
              <w:t>Critical safety alerts must reach operators with minimal latency.</w:t>
            </w:r>
          </w:p>
        </w:tc>
      </w:tr>
      <w:tr w:rsidR="00604AC1" w:rsidRPr="00313FB4" w14:paraId="3371EE4C" w14:textId="77777777" w:rsidTr="00313FB4">
        <w:tblPrEx>
          <w:tblCellMar>
            <w:top w:w="0" w:type="dxa"/>
            <w:bottom w:w="0" w:type="dxa"/>
          </w:tblCellMar>
        </w:tblPrEx>
        <w:tc>
          <w:tcPr>
            <w:tcW w:w="2600" w:type="dxa"/>
            <w:shd w:val="clear" w:color="auto" w:fill="FFFFFF" w:themeFill="background1"/>
            <w:tcMar>
              <w:top w:w="80" w:type="dxa"/>
              <w:left w:w="120" w:type="dxa"/>
              <w:bottom w:w="80" w:type="dxa"/>
              <w:right w:w="120" w:type="dxa"/>
            </w:tcMar>
            <w:vAlign w:val="center"/>
          </w:tcPr>
          <w:p w14:paraId="240D630E" w14:textId="77777777" w:rsidR="00604AC1" w:rsidRPr="00313FB4" w:rsidRDefault="00000000">
            <w:pPr>
              <w:rPr>
                <w:color w:val="000000" w:themeColor="text1"/>
              </w:rPr>
            </w:pPr>
            <w:r w:rsidRPr="00313FB4">
              <w:rPr>
                <w:color w:val="000000" w:themeColor="text1"/>
              </w:rPr>
              <w:t>Security</w:t>
            </w:r>
          </w:p>
        </w:tc>
        <w:tc>
          <w:tcPr>
            <w:tcW w:w="6900" w:type="dxa"/>
            <w:shd w:val="clear" w:color="auto" w:fill="FFFFFF" w:themeFill="background1"/>
            <w:tcMar>
              <w:top w:w="80" w:type="dxa"/>
              <w:left w:w="120" w:type="dxa"/>
              <w:bottom w:w="80" w:type="dxa"/>
              <w:right w:w="120" w:type="dxa"/>
            </w:tcMar>
            <w:vAlign w:val="center"/>
          </w:tcPr>
          <w:p w14:paraId="309DDE9D" w14:textId="77777777" w:rsidR="00604AC1" w:rsidRPr="00313FB4" w:rsidRDefault="00000000">
            <w:pPr>
              <w:rPr>
                <w:color w:val="000000" w:themeColor="text1"/>
              </w:rPr>
            </w:pPr>
            <w:r w:rsidRPr="00313FB4">
              <w:rPr>
                <w:color w:val="000000" w:themeColor="text1"/>
              </w:rPr>
              <w:t>Sensor, imagery, and OT-integration data must be protected against unauthorized access and tampering.</w:t>
            </w:r>
          </w:p>
        </w:tc>
      </w:tr>
    </w:tbl>
    <w:p w14:paraId="34CFBB77" w14:textId="77777777" w:rsidR="00604AC1" w:rsidRPr="00313FB4" w:rsidRDefault="00000000">
      <w:pPr>
        <w:pStyle w:val="Heading1"/>
        <w:pBdr>
          <w:bottom w:val="single" w:sz="6" w:space="4" w:color="2F5496"/>
        </w:pBdr>
        <w:spacing w:before="320" w:after="160"/>
        <w:rPr>
          <w:color w:val="000000" w:themeColor="text1"/>
        </w:rPr>
      </w:pPr>
      <w:r w:rsidRPr="00313FB4">
        <w:rPr>
          <w:b/>
          <w:bCs/>
          <w:color w:val="000000" w:themeColor="text1"/>
        </w:rPr>
        <w:lastRenderedPageBreak/>
        <w:t>2. Selection of Suitable Software Architecture</w:t>
      </w:r>
    </w:p>
    <w:p w14:paraId="2057A69D" w14:textId="77777777" w:rsidR="00604AC1" w:rsidRPr="00313FB4" w:rsidRDefault="00000000">
      <w:pPr>
        <w:pStyle w:val="Heading2"/>
        <w:spacing w:before="240" w:after="120"/>
        <w:rPr>
          <w:color w:val="000000" w:themeColor="text1"/>
        </w:rPr>
      </w:pPr>
      <w:r w:rsidRPr="00313FB4">
        <w:rPr>
          <w:b/>
          <w:bCs/>
          <w:color w:val="000000" w:themeColor="text1"/>
        </w:rPr>
        <w:t>2.1 Selected Architecture</w:t>
      </w:r>
    </w:p>
    <w:p w14:paraId="5D9F9B77" w14:textId="77777777" w:rsidR="00604AC1" w:rsidRPr="00313FB4" w:rsidRDefault="00000000">
      <w:pPr>
        <w:spacing w:after="160" w:line="300" w:lineRule="auto"/>
        <w:jc w:val="both"/>
        <w:rPr>
          <w:color w:val="000000" w:themeColor="text1"/>
        </w:rPr>
      </w:pPr>
      <w:r w:rsidRPr="00313FB4">
        <w:rPr>
          <w:color w:val="000000" w:themeColor="text1"/>
        </w:rPr>
        <w:t>A Hybrid Architecture combining Event-Driven Architecture (for data ingestion and streaming) with Microservices Architecture (for AI/ML processing and application logic), layered on top of an Edge Computing tier, is selected for this platform.</w:t>
      </w:r>
    </w:p>
    <w:p w14:paraId="4F1C1A8B" w14:textId="77777777" w:rsidR="00604AC1" w:rsidRPr="00313FB4" w:rsidRDefault="00000000">
      <w:pPr>
        <w:pStyle w:val="Heading2"/>
        <w:spacing w:before="240" w:after="120"/>
        <w:rPr>
          <w:color w:val="000000" w:themeColor="text1"/>
        </w:rPr>
      </w:pPr>
      <w:r w:rsidRPr="00313FB4">
        <w:rPr>
          <w:b/>
          <w:bCs/>
          <w:color w:val="000000" w:themeColor="text1"/>
        </w:rPr>
        <w:t>2.2 Justification</w:t>
      </w:r>
    </w:p>
    <w:p w14:paraId="04331912" w14:textId="77777777" w:rsidR="00604AC1" w:rsidRPr="00313FB4" w:rsidRDefault="00000000">
      <w:pPr>
        <w:pStyle w:val="ListParagraph"/>
        <w:numPr>
          <w:ilvl w:val="0"/>
          <w:numId w:val="2"/>
        </w:numPr>
        <w:spacing w:after="80" w:line="280" w:lineRule="auto"/>
        <w:rPr>
          <w:color w:val="000000" w:themeColor="text1"/>
        </w:rPr>
      </w:pPr>
      <w:r w:rsidRPr="00313FB4">
        <w:rPr>
          <w:b/>
          <w:bCs/>
          <w:color w:val="000000" w:themeColor="text1"/>
        </w:rPr>
        <w:t xml:space="preserve">Event-driven ingestion </w:t>
      </w:r>
      <w:r w:rsidRPr="00313FB4">
        <w:rPr>
          <w:color w:val="000000" w:themeColor="text1"/>
        </w:rPr>
        <w:t>naturally matches the continuous, asynchronous nature of sensor telemetry and imagery streams, decoupling data producers (sensors, drones) from consumers (AI services) via a message broker.</w:t>
      </w:r>
    </w:p>
    <w:p w14:paraId="37558176" w14:textId="77777777" w:rsidR="00604AC1" w:rsidRPr="00313FB4" w:rsidRDefault="00000000">
      <w:pPr>
        <w:pStyle w:val="ListParagraph"/>
        <w:numPr>
          <w:ilvl w:val="0"/>
          <w:numId w:val="2"/>
        </w:numPr>
        <w:spacing w:after="80" w:line="280" w:lineRule="auto"/>
        <w:rPr>
          <w:color w:val="000000" w:themeColor="text1"/>
        </w:rPr>
      </w:pPr>
      <w:r w:rsidRPr="00313FB4">
        <w:rPr>
          <w:b/>
          <w:bCs/>
          <w:color w:val="000000" w:themeColor="text1"/>
        </w:rPr>
        <w:t xml:space="preserve">Microservices </w:t>
      </w:r>
      <w:r w:rsidRPr="00313FB4">
        <w:rPr>
          <w:color w:val="000000" w:themeColor="text1"/>
        </w:rPr>
        <w:t>allow the anomaly detection, computer vision, predictive maintenance, and prioritization capabilities to be developed, deployed, and scaled independently — important because AI workloads have very different resource profiles (e.g., GPU-heavy vision models) from lightweight services like alerting.</w:t>
      </w:r>
    </w:p>
    <w:p w14:paraId="66544F00" w14:textId="77777777" w:rsidR="00604AC1" w:rsidRPr="00313FB4" w:rsidRDefault="00000000">
      <w:pPr>
        <w:pStyle w:val="ListParagraph"/>
        <w:numPr>
          <w:ilvl w:val="0"/>
          <w:numId w:val="2"/>
        </w:numPr>
        <w:spacing w:after="80" w:line="280" w:lineRule="auto"/>
        <w:rPr>
          <w:color w:val="000000" w:themeColor="text1"/>
        </w:rPr>
      </w:pPr>
      <w:r w:rsidRPr="00313FB4">
        <w:rPr>
          <w:b/>
          <w:bCs/>
          <w:color w:val="000000" w:themeColor="text1"/>
        </w:rPr>
        <w:t xml:space="preserve">Edge pre-processing </w:t>
      </w:r>
      <w:r w:rsidRPr="00313FB4">
        <w:rPr>
          <w:color w:val="000000" w:themeColor="text1"/>
        </w:rPr>
        <w:t xml:space="preserve">at gateways near track-side sensors reduces bandwidth usage and latency for remote sections with limited </w:t>
      </w:r>
      <w:proofErr w:type="gramStart"/>
      <w:r w:rsidRPr="00313FB4">
        <w:rPr>
          <w:color w:val="000000" w:themeColor="text1"/>
        </w:rPr>
        <w:t>connectivity, and</w:t>
      </w:r>
      <w:proofErr w:type="gramEnd"/>
      <w:r w:rsidRPr="00313FB4">
        <w:rPr>
          <w:color w:val="000000" w:themeColor="text1"/>
        </w:rPr>
        <w:t xml:space="preserve"> enables basic local anomaly filtering before data reaches the cloud.</w:t>
      </w:r>
    </w:p>
    <w:p w14:paraId="4B67A99C" w14:textId="77777777" w:rsidR="00604AC1" w:rsidRPr="00313FB4" w:rsidRDefault="00000000">
      <w:pPr>
        <w:pStyle w:val="ListParagraph"/>
        <w:numPr>
          <w:ilvl w:val="0"/>
          <w:numId w:val="2"/>
        </w:numPr>
        <w:spacing w:after="80" w:line="280" w:lineRule="auto"/>
        <w:rPr>
          <w:color w:val="000000" w:themeColor="text1"/>
        </w:rPr>
      </w:pPr>
      <w:r w:rsidRPr="00313FB4">
        <w:rPr>
          <w:b/>
          <w:bCs/>
          <w:color w:val="000000" w:themeColor="text1"/>
        </w:rPr>
        <w:t xml:space="preserve">A clear API Gateway boundary </w:t>
      </w:r>
      <w:r w:rsidRPr="00313FB4">
        <w:rPr>
          <w:color w:val="000000" w:themeColor="text1"/>
        </w:rPr>
        <w:t>isolates legacy OT systems (SCADA, signaling) from the new platform, reducing integration risk to existing safety-critical infrastructure.</w:t>
      </w:r>
    </w:p>
    <w:p w14:paraId="62E2B41D" w14:textId="77777777" w:rsidR="00604AC1" w:rsidRPr="00313FB4" w:rsidRDefault="00000000">
      <w:pPr>
        <w:spacing w:after="160" w:line="300" w:lineRule="auto"/>
        <w:jc w:val="both"/>
        <w:rPr>
          <w:color w:val="000000" w:themeColor="text1"/>
        </w:rPr>
      </w:pPr>
      <w:r w:rsidRPr="00313FB4">
        <w:rPr>
          <w:color w:val="000000" w:themeColor="text1"/>
        </w:rPr>
        <w:t>This hybrid approach was chosen over a pure monolithic or pure layered architecture because a monolith would not allow independent scaling of GPU-intensive AI services, and over a pure microservices-only design because the raw ingestion problem (many small, frequent messages from distributed sensors) is a better fit for event streaming than for direct service-to-service REST calls.</w:t>
      </w:r>
    </w:p>
    <w:p w14:paraId="2E24B2B3" w14:textId="77777777" w:rsidR="00604AC1" w:rsidRPr="00313FB4" w:rsidRDefault="00000000">
      <w:pPr>
        <w:pStyle w:val="Heading1"/>
        <w:pBdr>
          <w:bottom w:val="single" w:sz="6" w:space="4" w:color="2F5496"/>
        </w:pBdr>
        <w:spacing w:before="320" w:after="160"/>
        <w:rPr>
          <w:color w:val="000000" w:themeColor="text1"/>
        </w:rPr>
      </w:pPr>
      <w:r w:rsidRPr="00313FB4">
        <w:rPr>
          <w:b/>
          <w:bCs/>
          <w:color w:val="000000" w:themeColor="text1"/>
        </w:rPr>
        <w:t>3. Software Architecture Diagram</w:t>
      </w:r>
    </w:p>
    <w:p w14:paraId="50E841A9" w14:textId="77777777" w:rsidR="00604AC1" w:rsidRPr="00313FB4" w:rsidRDefault="00000000">
      <w:pPr>
        <w:spacing w:before="120" w:after="120"/>
        <w:jc w:val="center"/>
        <w:rPr>
          <w:color w:val="000000" w:themeColor="text1"/>
        </w:rPr>
      </w:pPr>
      <w:r w:rsidRPr="00313FB4">
        <w:rPr>
          <w:noProof/>
          <w:color w:val="000000" w:themeColor="text1"/>
        </w:rPr>
        <w:drawing>
          <wp:inline distT="0" distB="0" distL="0" distR="0" wp14:anchorId="4A826045" wp14:editId="06B423CB">
            <wp:extent cx="5905500" cy="482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829175"/>
                    </a:xfrm>
                    <a:prstGeom prst="rect">
                      <a:avLst/>
                    </a:prstGeom>
                  </pic:spPr>
                </pic:pic>
              </a:graphicData>
            </a:graphic>
          </wp:inline>
        </w:drawing>
      </w:r>
    </w:p>
    <w:p w14:paraId="792BD8EB" w14:textId="77777777" w:rsidR="00604AC1" w:rsidRPr="00313FB4" w:rsidRDefault="00000000">
      <w:pPr>
        <w:spacing w:after="200"/>
        <w:jc w:val="center"/>
        <w:rPr>
          <w:color w:val="000000" w:themeColor="text1"/>
        </w:rPr>
      </w:pPr>
      <w:r w:rsidRPr="00313FB4">
        <w:rPr>
          <w:i/>
          <w:iCs/>
          <w:color w:val="000000" w:themeColor="text1"/>
          <w:sz w:val="18"/>
          <w:szCs w:val="18"/>
        </w:rPr>
        <w:t>Fig. 1 — Layered / Microservices Hybrid Architecture for the Railway Asset Monitoring &amp; Predictive Maintenance Platform</w:t>
      </w:r>
    </w:p>
    <w:p w14:paraId="222D981F" w14:textId="77777777" w:rsidR="00604AC1" w:rsidRPr="00313FB4" w:rsidRDefault="00000000">
      <w:pPr>
        <w:pStyle w:val="Heading1"/>
        <w:pBdr>
          <w:bottom w:val="single" w:sz="6" w:space="4" w:color="2F5496"/>
        </w:pBdr>
        <w:spacing w:before="320" w:after="160"/>
        <w:rPr>
          <w:color w:val="000000" w:themeColor="text1"/>
        </w:rPr>
      </w:pPr>
      <w:r w:rsidRPr="00313FB4">
        <w:rPr>
          <w:b/>
          <w:bCs/>
          <w:color w:val="000000" w:themeColor="text1"/>
        </w:rPr>
        <w:t>4. Components and Their Interactions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400"/>
        <w:gridCol w:w="3900"/>
        <w:gridCol w:w="3200"/>
      </w:tblGrid>
      <w:tr w:rsidR="00604AC1" w:rsidRPr="00313FB4" w14:paraId="591618B1" w14:textId="77777777" w:rsidTr="00313FB4">
        <w:tblPrEx>
          <w:tblCellMar>
            <w:top w:w="0" w:type="dxa"/>
            <w:bottom w:w="0" w:type="dxa"/>
          </w:tblCellMar>
        </w:tblPrEx>
        <w:trPr>
          <w:tblHeader/>
        </w:trPr>
        <w:tc>
          <w:tcPr>
            <w:tcW w:w="2400" w:type="dxa"/>
            <w:shd w:val="clear" w:color="auto" w:fill="FFFFFF" w:themeFill="background1"/>
            <w:tcMar>
              <w:top w:w="80" w:type="dxa"/>
              <w:left w:w="120" w:type="dxa"/>
              <w:bottom w:w="80" w:type="dxa"/>
              <w:right w:w="120" w:type="dxa"/>
            </w:tcMar>
            <w:vAlign w:val="center"/>
          </w:tcPr>
          <w:p w14:paraId="4A31B4B4" w14:textId="77777777" w:rsidR="00604AC1" w:rsidRPr="00313FB4" w:rsidRDefault="00000000">
            <w:pPr>
              <w:rPr>
                <w:color w:val="000000" w:themeColor="text1"/>
              </w:rPr>
            </w:pPr>
            <w:r w:rsidRPr="00313FB4">
              <w:rPr>
                <w:b/>
                <w:bCs/>
                <w:color w:val="000000" w:themeColor="text1"/>
              </w:rPr>
              <w:t>Component</w:t>
            </w:r>
          </w:p>
        </w:tc>
        <w:tc>
          <w:tcPr>
            <w:tcW w:w="3900" w:type="dxa"/>
            <w:shd w:val="clear" w:color="auto" w:fill="FFFFFF" w:themeFill="background1"/>
            <w:tcMar>
              <w:top w:w="80" w:type="dxa"/>
              <w:left w:w="120" w:type="dxa"/>
              <w:bottom w:w="80" w:type="dxa"/>
              <w:right w:w="120" w:type="dxa"/>
            </w:tcMar>
            <w:vAlign w:val="center"/>
          </w:tcPr>
          <w:p w14:paraId="6FEE3641" w14:textId="77777777" w:rsidR="00604AC1" w:rsidRPr="00313FB4" w:rsidRDefault="00000000">
            <w:pPr>
              <w:rPr>
                <w:color w:val="000000" w:themeColor="text1"/>
              </w:rPr>
            </w:pPr>
            <w:r w:rsidRPr="00313FB4">
              <w:rPr>
                <w:b/>
                <w:bCs/>
                <w:color w:val="000000" w:themeColor="text1"/>
              </w:rPr>
              <w:t>Responsibility</w:t>
            </w:r>
          </w:p>
        </w:tc>
        <w:tc>
          <w:tcPr>
            <w:tcW w:w="3200" w:type="dxa"/>
            <w:shd w:val="clear" w:color="auto" w:fill="FFFFFF" w:themeFill="background1"/>
            <w:tcMar>
              <w:top w:w="80" w:type="dxa"/>
              <w:left w:w="120" w:type="dxa"/>
              <w:bottom w:w="80" w:type="dxa"/>
              <w:right w:w="120" w:type="dxa"/>
            </w:tcMar>
            <w:vAlign w:val="center"/>
          </w:tcPr>
          <w:p w14:paraId="20A445CA" w14:textId="77777777" w:rsidR="00604AC1" w:rsidRPr="00313FB4" w:rsidRDefault="00000000">
            <w:pPr>
              <w:rPr>
                <w:color w:val="000000" w:themeColor="text1"/>
              </w:rPr>
            </w:pPr>
            <w:r w:rsidRPr="00313FB4">
              <w:rPr>
                <w:b/>
                <w:bCs/>
                <w:color w:val="000000" w:themeColor="text1"/>
              </w:rPr>
              <w:t>Communicates Via</w:t>
            </w:r>
          </w:p>
        </w:tc>
      </w:tr>
      <w:tr w:rsidR="00604AC1" w:rsidRPr="00313FB4" w14:paraId="23307285" w14:textId="77777777" w:rsidTr="00313FB4">
        <w:tblPrEx>
          <w:tblCellMar>
            <w:top w:w="0" w:type="dxa"/>
            <w:bottom w:w="0" w:type="dxa"/>
          </w:tblCellMar>
        </w:tblPrEx>
        <w:tc>
          <w:tcPr>
            <w:tcW w:w="2400" w:type="dxa"/>
            <w:shd w:val="clear" w:color="auto" w:fill="FFFFFF" w:themeFill="background1"/>
            <w:tcMar>
              <w:top w:w="80" w:type="dxa"/>
              <w:left w:w="120" w:type="dxa"/>
              <w:bottom w:w="80" w:type="dxa"/>
              <w:right w:w="120" w:type="dxa"/>
            </w:tcMar>
            <w:vAlign w:val="center"/>
          </w:tcPr>
          <w:p w14:paraId="3FBE34FD" w14:textId="77777777" w:rsidR="00604AC1" w:rsidRPr="00313FB4" w:rsidRDefault="00000000">
            <w:pPr>
              <w:rPr>
                <w:color w:val="000000" w:themeColor="text1"/>
              </w:rPr>
            </w:pPr>
            <w:r w:rsidRPr="00313FB4">
              <w:rPr>
                <w:color w:val="000000" w:themeColor="text1"/>
              </w:rPr>
              <w:t>Field/Edge Sensors &amp; Drones</w:t>
            </w:r>
          </w:p>
        </w:tc>
        <w:tc>
          <w:tcPr>
            <w:tcW w:w="3900" w:type="dxa"/>
            <w:shd w:val="clear" w:color="auto" w:fill="FFFFFF" w:themeFill="background1"/>
            <w:tcMar>
              <w:top w:w="80" w:type="dxa"/>
              <w:left w:w="120" w:type="dxa"/>
              <w:bottom w:w="80" w:type="dxa"/>
              <w:right w:w="120" w:type="dxa"/>
            </w:tcMar>
            <w:vAlign w:val="center"/>
          </w:tcPr>
          <w:p w14:paraId="7F039CF5" w14:textId="77777777" w:rsidR="00604AC1" w:rsidRPr="00313FB4" w:rsidRDefault="00000000">
            <w:pPr>
              <w:rPr>
                <w:color w:val="000000" w:themeColor="text1"/>
              </w:rPr>
            </w:pPr>
            <w:r w:rsidRPr="00313FB4">
              <w:rPr>
                <w:color w:val="000000" w:themeColor="text1"/>
              </w:rPr>
              <w:t>Capture raw condition data and imagery from railway assets.</w:t>
            </w:r>
          </w:p>
        </w:tc>
        <w:tc>
          <w:tcPr>
            <w:tcW w:w="3200" w:type="dxa"/>
            <w:shd w:val="clear" w:color="auto" w:fill="FFFFFF" w:themeFill="background1"/>
            <w:tcMar>
              <w:top w:w="80" w:type="dxa"/>
              <w:left w:w="120" w:type="dxa"/>
              <w:bottom w:w="80" w:type="dxa"/>
              <w:right w:w="120" w:type="dxa"/>
            </w:tcMar>
            <w:vAlign w:val="center"/>
          </w:tcPr>
          <w:p w14:paraId="48A9550B" w14:textId="77777777" w:rsidR="00604AC1" w:rsidRPr="00313FB4" w:rsidRDefault="00000000">
            <w:pPr>
              <w:rPr>
                <w:color w:val="000000" w:themeColor="text1"/>
              </w:rPr>
            </w:pPr>
            <w:r w:rsidRPr="00313FB4">
              <w:rPr>
                <w:color w:val="000000" w:themeColor="text1"/>
              </w:rPr>
              <w:t>Wireless telemetry to Edge Gateway</w:t>
            </w:r>
          </w:p>
        </w:tc>
      </w:tr>
      <w:tr w:rsidR="00604AC1" w:rsidRPr="00313FB4" w14:paraId="03D0027F" w14:textId="77777777" w:rsidTr="00313FB4">
        <w:tblPrEx>
          <w:tblCellMar>
            <w:top w:w="0" w:type="dxa"/>
            <w:bottom w:w="0" w:type="dxa"/>
          </w:tblCellMar>
        </w:tblPrEx>
        <w:tc>
          <w:tcPr>
            <w:tcW w:w="2400" w:type="dxa"/>
            <w:shd w:val="clear" w:color="auto" w:fill="FFFFFF" w:themeFill="background1"/>
            <w:tcMar>
              <w:top w:w="80" w:type="dxa"/>
              <w:left w:w="120" w:type="dxa"/>
              <w:bottom w:w="80" w:type="dxa"/>
              <w:right w:w="120" w:type="dxa"/>
            </w:tcMar>
            <w:vAlign w:val="center"/>
          </w:tcPr>
          <w:p w14:paraId="14A624E5" w14:textId="77777777" w:rsidR="00604AC1" w:rsidRPr="00313FB4" w:rsidRDefault="00000000">
            <w:pPr>
              <w:rPr>
                <w:color w:val="000000" w:themeColor="text1"/>
              </w:rPr>
            </w:pPr>
            <w:r w:rsidRPr="00313FB4">
              <w:rPr>
                <w:color w:val="000000" w:themeColor="text1"/>
              </w:rPr>
              <w:t>Edge Gateway</w:t>
            </w:r>
          </w:p>
        </w:tc>
        <w:tc>
          <w:tcPr>
            <w:tcW w:w="3900" w:type="dxa"/>
            <w:shd w:val="clear" w:color="auto" w:fill="FFFFFF" w:themeFill="background1"/>
            <w:tcMar>
              <w:top w:w="80" w:type="dxa"/>
              <w:left w:w="120" w:type="dxa"/>
              <w:bottom w:w="80" w:type="dxa"/>
              <w:right w:w="120" w:type="dxa"/>
            </w:tcMar>
            <w:vAlign w:val="center"/>
          </w:tcPr>
          <w:p w14:paraId="44E23118" w14:textId="77777777" w:rsidR="00604AC1" w:rsidRPr="00313FB4" w:rsidRDefault="00000000">
            <w:pPr>
              <w:rPr>
                <w:color w:val="000000" w:themeColor="text1"/>
              </w:rPr>
            </w:pPr>
            <w:r w:rsidRPr="00313FB4">
              <w:rPr>
                <w:color w:val="000000" w:themeColor="text1"/>
              </w:rPr>
              <w:t>Local pre-processing, filtering, and buffering before transmission.</w:t>
            </w:r>
          </w:p>
        </w:tc>
        <w:tc>
          <w:tcPr>
            <w:tcW w:w="3200" w:type="dxa"/>
            <w:shd w:val="clear" w:color="auto" w:fill="FFFFFF" w:themeFill="background1"/>
            <w:tcMar>
              <w:top w:w="80" w:type="dxa"/>
              <w:left w:w="120" w:type="dxa"/>
              <w:bottom w:w="80" w:type="dxa"/>
              <w:right w:w="120" w:type="dxa"/>
            </w:tcMar>
            <w:vAlign w:val="center"/>
          </w:tcPr>
          <w:p w14:paraId="34823FA2" w14:textId="77777777" w:rsidR="00604AC1" w:rsidRPr="00313FB4" w:rsidRDefault="00000000">
            <w:pPr>
              <w:rPr>
                <w:color w:val="000000" w:themeColor="text1"/>
              </w:rPr>
            </w:pPr>
            <w:r w:rsidRPr="00313FB4">
              <w:rPr>
                <w:color w:val="000000" w:themeColor="text1"/>
              </w:rPr>
              <w:t>5G/</w:t>
            </w:r>
            <w:proofErr w:type="spellStart"/>
            <w:r w:rsidRPr="00313FB4">
              <w:rPr>
                <w:color w:val="000000" w:themeColor="text1"/>
              </w:rPr>
              <w:t>LoRaWAN</w:t>
            </w:r>
            <w:proofErr w:type="spellEnd"/>
            <w:r w:rsidRPr="00313FB4">
              <w:rPr>
                <w:color w:val="000000" w:themeColor="text1"/>
              </w:rPr>
              <w:t>/Satellite to API Gateway</w:t>
            </w:r>
          </w:p>
        </w:tc>
      </w:tr>
      <w:tr w:rsidR="00604AC1" w:rsidRPr="00313FB4" w14:paraId="6B36134C" w14:textId="77777777" w:rsidTr="00313FB4">
        <w:tblPrEx>
          <w:tblCellMar>
            <w:top w:w="0" w:type="dxa"/>
            <w:bottom w:w="0" w:type="dxa"/>
          </w:tblCellMar>
        </w:tblPrEx>
        <w:tc>
          <w:tcPr>
            <w:tcW w:w="2400" w:type="dxa"/>
            <w:shd w:val="clear" w:color="auto" w:fill="FFFFFF" w:themeFill="background1"/>
            <w:tcMar>
              <w:top w:w="80" w:type="dxa"/>
              <w:left w:w="120" w:type="dxa"/>
              <w:bottom w:w="80" w:type="dxa"/>
              <w:right w:w="120" w:type="dxa"/>
            </w:tcMar>
            <w:vAlign w:val="center"/>
          </w:tcPr>
          <w:p w14:paraId="5DFC710A" w14:textId="77777777" w:rsidR="00604AC1" w:rsidRPr="00313FB4" w:rsidRDefault="00000000">
            <w:pPr>
              <w:rPr>
                <w:color w:val="000000" w:themeColor="text1"/>
              </w:rPr>
            </w:pPr>
            <w:r w:rsidRPr="00313FB4">
              <w:rPr>
                <w:color w:val="000000" w:themeColor="text1"/>
              </w:rPr>
              <w:t>Ingestion API Gateway</w:t>
            </w:r>
          </w:p>
        </w:tc>
        <w:tc>
          <w:tcPr>
            <w:tcW w:w="3900" w:type="dxa"/>
            <w:shd w:val="clear" w:color="auto" w:fill="FFFFFF" w:themeFill="background1"/>
            <w:tcMar>
              <w:top w:w="80" w:type="dxa"/>
              <w:left w:w="120" w:type="dxa"/>
              <w:bottom w:w="80" w:type="dxa"/>
              <w:right w:w="120" w:type="dxa"/>
            </w:tcMar>
            <w:vAlign w:val="center"/>
          </w:tcPr>
          <w:p w14:paraId="38898199" w14:textId="77777777" w:rsidR="00604AC1" w:rsidRPr="00313FB4" w:rsidRDefault="00000000">
            <w:pPr>
              <w:rPr>
                <w:color w:val="000000" w:themeColor="text1"/>
              </w:rPr>
            </w:pPr>
            <w:r w:rsidRPr="00313FB4">
              <w:rPr>
                <w:color w:val="000000" w:themeColor="text1"/>
              </w:rPr>
              <w:t>Authenticates and routes incoming device data into the platform.</w:t>
            </w:r>
          </w:p>
        </w:tc>
        <w:tc>
          <w:tcPr>
            <w:tcW w:w="3200" w:type="dxa"/>
            <w:shd w:val="clear" w:color="auto" w:fill="FFFFFF" w:themeFill="background1"/>
            <w:tcMar>
              <w:top w:w="80" w:type="dxa"/>
              <w:left w:w="120" w:type="dxa"/>
              <w:bottom w:w="80" w:type="dxa"/>
              <w:right w:w="120" w:type="dxa"/>
            </w:tcMar>
            <w:vAlign w:val="center"/>
          </w:tcPr>
          <w:p w14:paraId="0E3D92D1" w14:textId="77777777" w:rsidR="00604AC1" w:rsidRPr="00313FB4" w:rsidRDefault="00000000">
            <w:pPr>
              <w:rPr>
                <w:color w:val="000000" w:themeColor="text1"/>
              </w:rPr>
            </w:pPr>
            <w:r w:rsidRPr="00313FB4">
              <w:rPr>
                <w:color w:val="000000" w:themeColor="text1"/>
              </w:rPr>
              <w:t>Publishes to Message Broker</w:t>
            </w:r>
          </w:p>
        </w:tc>
      </w:tr>
      <w:tr w:rsidR="00604AC1" w:rsidRPr="00313FB4" w14:paraId="6541E5C1" w14:textId="77777777" w:rsidTr="00313FB4">
        <w:tblPrEx>
          <w:tblCellMar>
            <w:top w:w="0" w:type="dxa"/>
            <w:bottom w:w="0" w:type="dxa"/>
          </w:tblCellMar>
        </w:tblPrEx>
        <w:tc>
          <w:tcPr>
            <w:tcW w:w="2400" w:type="dxa"/>
            <w:shd w:val="clear" w:color="auto" w:fill="FFFFFF" w:themeFill="background1"/>
            <w:tcMar>
              <w:top w:w="80" w:type="dxa"/>
              <w:left w:w="120" w:type="dxa"/>
              <w:bottom w:w="80" w:type="dxa"/>
              <w:right w:w="120" w:type="dxa"/>
            </w:tcMar>
            <w:vAlign w:val="center"/>
          </w:tcPr>
          <w:p w14:paraId="148F2D5E" w14:textId="77777777" w:rsidR="00604AC1" w:rsidRPr="00313FB4" w:rsidRDefault="00000000">
            <w:pPr>
              <w:rPr>
                <w:color w:val="000000" w:themeColor="text1"/>
              </w:rPr>
            </w:pPr>
            <w:r w:rsidRPr="00313FB4">
              <w:rPr>
                <w:color w:val="000000" w:themeColor="text1"/>
              </w:rPr>
              <w:t>Message Broker (Kafka/MQTT)</w:t>
            </w:r>
          </w:p>
        </w:tc>
        <w:tc>
          <w:tcPr>
            <w:tcW w:w="3900" w:type="dxa"/>
            <w:shd w:val="clear" w:color="auto" w:fill="FFFFFF" w:themeFill="background1"/>
            <w:tcMar>
              <w:top w:w="80" w:type="dxa"/>
              <w:left w:w="120" w:type="dxa"/>
              <w:bottom w:w="80" w:type="dxa"/>
              <w:right w:w="120" w:type="dxa"/>
            </w:tcMar>
            <w:vAlign w:val="center"/>
          </w:tcPr>
          <w:p w14:paraId="53CC3235" w14:textId="77777777" w:rsidR="00604AC1" w:rsidRPr="00313FB4" w:rsidRDefault="00000000">
            <w:pPr>
              <w:rPr>
                <w:color w:val="000000" w:themeColor="text1"/>
              </w:rPr>
            </w:pPr>
            <w:r w:rsidRPr="00313FB4">
              <w:rPr>
                <w:color w:val="000000" w:themeColor="text1"/>
              </w:rPr>
              <w:t>Durable, asynchronous event backbone decoupling producers and consumers.</w:t>
            </w:r>
          </w:p>
        </w:tc>
        <w:tc>
          <w:tcPr>
            <w:tcW w:w="3200" w:type="dxa"/>
            <w:shd w:val="clear" w:color="auto" w:fill="FFFFFF" w:themeFill="background1"/>
            <w:tcMar>
              <w:top w:w="80" w:type="dxa"/>
              <w:left w:w="120" w:type="dxa"/>
              <w:bottom w:w="80" w:type="dxa"/>
              <w:right w:w="120" w:type="dxa"/>
            </w:tcMar>
            <w:vAlign w:val="center"/>
          </w:tcPr>
          <w:p w14:paraId="5BAF0AE5" w14:textId="77777777" w:rsidR="00604AC1" w:rsidRPr="00313FB4" w:rsidRDefault="00000000">
            <w:pPr>
              <w:rPr>
                <w:color w:val="000000" w:themeColor="text1"/>
              </w:rPr>
            </w:pPr>
            <w:r w:rsidRPr="00313FB4">
              <w:rPr>
                <w:color w:val="000000" w:themeColor="text1"/>
              </w:rPr>
              <w:t>Pub/Sub to Stream Processing &amp; AI services</w:t>
            </w:r>
          </w:p>
        </w:tc>
      </w:tr>
      <w:tr w:rsidR="00604AC1" w:rsidRPr="00313FB4" w14:paraId="34E08A00" w14:textId="77777777" w:rsidTr="00313FB4">
        <w:tblPrEx>
          <w:tblCellMar>
            <w:top w:w="0" w:type="dxa"/>
            <w:bottom w:w="0" w:type="dxa"/>
          </w:tblCellMar>
        </w:tblPrEx>
        <w:tc>
          <w:tcPr>
            <w:tcW w:w="2400" w:type="dxa"/>
            <w:shd w:val="clear" w:color="auto" w:fill="FFFFFF" w:themeFill="background1"/>
            <w:tcMar>
              <w:top w:w="80" w:type="dxa"/>
              <w:left w:w="120" w:type="dxa"/>
              <w:bottom w:w="80" w:type="dxa"/>
              <w:right w:w="120" w:type="dxa"/>
            </w:tcMar>
            <w:vAlign w:val="center"/>
          </w:tcPr>
          <w:p w14:paraId="2C1812E7" w14:textId="77777777" w:rsidR="00604AC1" w:rsidRPr="00313FB4" w:rsidRDefault="00000000">
            <w:pPr>
              <w:rPr>
                <w:color w:val="000000" w:themeColor="text1"/>
              </w:rPr>
            </w:pPr>
            <w:r w:rsidRPr="00313FB4">
              <w:rPr>
                <w:color w:val="000000" w:themeColor="text1"/>
              </w:rPr>
              <w:t>Stream Processing Engine</w:t>
            </w:r>
          </w:p>
        </w:tc>
        <w:tc>
          <w:tcPr>
            <w:tcW w:w="3900" w:type="dxa"/>
            <w:shd w:val="clear" w:color="auto" w:fill="FFFFFF" w:themeFill="background1"/>
            <w:tcMar>
              <w:top w:w="80" w:type="dxa"/>
              <w:left w:w="120" w:type="dxa"/>
              <w:bottom w:w="80" w:type="dxa"/>
              <w:right w:w="120" w:type="dxa"/>
            </w:tcMar>
            <w:vAlign w:val="center"/>
          </w:tcPr>
          <w:p w14:paraId="3299F013" w14:textId="77777777" w:rsidR="00604AC1" w:rsidRPr="00313FB4" w:rsidRDefault="00000000">
            <w:pPr>
              <w:rPr>
                <w:color w:val="000000" w:themeColor="text1"/>
              </w:rPr>
            </w:pPr>
            <w:r w:rsidRPr="00313FB4">
              <w:rPr>
                <w:color w:val="000000" w:themeColor="text1"/>
              </w:rPr>
              <w:t>Real-time filtering, enrichment, and routing of event streams.</w:t>
            </w:r>
          </w:p>
        </w:tc>
        <w:tc>
          <w:tcPr>
            <w:tcW w:w="3200" w:type="dxa"/>
            <w:shd w:val="clear" w:color="auto" w:fill="FFFFFF" w:themeFill="background1"/>
            <w:tcMar>
              <w:top w:w="80" w:type="dxa"/>
              <w:left w:w="120" w:type="dxa"/>
              <w:bottom w:w="80" w:type="dxa"/>
              <w:right w:w="120" w:type="dxa"/>
            </w:tcMar>
            <w:vAlign w:val="center"/>
          </w:tcPr>
          <w:p w14:paraId="569BDFAB" w14:textId="77777777" w:rsidR="00604AC1" w:rsidRPr="00313FB4" w:rsidRDefault="00000000">
            <w:pPr>
              <w:rPr>
                <w:color w:val="000000" w:themeColor="text1"/>
              </w:rPr>
            </w:pPr>
            <w:r w:rsidRPr="00313FB4">
              <w:rPr>
                <w:color w:val="000000" w:themeColor="text1"/>
              </w:rPr>
              <w:t>Feeds AI/ML Processing Layer</w:t>
            </w:r>
          </w:p>
        </w:tc>
      </w:tr>
      <w:tr w:rsidR="00604AC1" w:rsidRPr="00313FB4" w14:paraId="48F3AFBD" w14:textId="77777777" w:rsidTr="00313FB4">
        <w:tblPrEx>
          <w:tblCellMar>
            <w:top w:w="0" w:type="dxa"/>
            <w:bottom w:w="0" w:type="dxa"/>
          </w:tblCellMar>
        </w:tblPrEx>
        <w:tc>
          <w:tcPr>
            <w:tcW w:w="2400" w:type="dxa"/>
            <w:shd w:val="clear" w:color="auto" w:fill="FFFFFF" w:themeFill="background1"/>
            <w:tcMar>
              <w:top w:w="80" w:type="dxa"/>
              <w:left w:w="120" w:type="dxa"/>
              <w:bottom w:w="80" w:type="dxa"/>
              <w:right w:w="120" w:type="dxa"/>
            </w:tcMar>
            <w:vAlign w:val="center"/>
          </w:tcPr>
          <w:p w14:paraId="251AE48A" w14:textId="77777777" w:rsidR="00604AC1" w:rsidRPr="00313FB4" w:rsidRDefault="00000000">
            <w:pPr>
              <w:rPr>
                <w:color w:val="000000" w:themeColor="text1"/>
              </w:rPr>
            </w:pPr>
            <w:r w:rsidRPr="00313FB4">
              <w:rPr>
                <w:color w:val="000000" w:themeColor="text1"/>
              </w:rPr>
              <w:t>Anomaly Detection Service</w:t>
            </w:r>
          </w:p>
        </w:tc>
        <w:tc>
          <w:tcPr>
            <w:tcW w:w="3900" w:type="dxa"/>
            <w:shd w:val="clear" w:color="auto" w:fill="FFFFFF" w:themeFill="background1"/>
            <w:tcMar>
              <w:top w:w="80" w:type="dxa"/>
              <w:left w:w="120" w:type="dxa"/>
              <w:bottom w:w="80" w:type="dxa"/>
              <w:right w:w="120" w:type="dxa"/>
            </w:tcMar>
            <w:vAlign w:val="center"/>
          </w:tcPr>
          <w:p w14:paraId="13BE4100" w14:textId="77777777" w:rsidR="00604AC1" w:rsidRPr="00313FB4" w:rsidRDefault="00000000">
            <w:pPr>
              <w:rPr>
                <w:color w:val="000000" w:themeColor="text1"/>
              </w:rPr>
            </w:pPr>
            <w:r w:rsidRPr="00313FB4">
              <w:rPr>
                <w:color w:val="000000" w:themeColor="text1"/>
              </w:rPr>
              <w:t>Identifies abnormal sensor readings using ML models.</w:t>
            </w:r>
          </w:p>
        </w:tc>
        <w:tc>
          <w:tcPr>
            <w:tcW w:w="3200" w:type="dxa"/>
            <w:shd w:val="clear" w:color="auto" w:fill="FFFFFF" w:themeFill="background1"/>
            <w:tcMar>
              <w:top w:w="80" w:type="dxa"/>
              <w:left w:w="120" w:type="dxa"/>
              <w:bottom w:w="80" w:type="dxa"/>
              <w:right w:w="120" w:type="dxa"/>
            </w:tcMar>
            <w:vAlign w:val="center"/>
          </w:tcPr>
          <w:p w14:paraId="04D05FB1" w14:textId="77777777" w:rsidR="00604AC1" w:rsidRPr="00313FB4" w:rsidRDefault="00000000">
            <w:pPr>
              <w:rPr>
                <w:color w:val="000000" w:themeColor="text1"/>
              </w:rPr>
            </w:pPr>
            <w:r w:rsidRPr="00313FB4">
              <w:rPr>
                <w:color w:val="000000" w:themeColor="text1"/>
              </w:rPr>
              <w:t>Writes results to Data Layer; publishes alerts</w:t>
            </w:r>
          </w:p>
        </w:tc>
      </w:tr>
      <w:tr w:rsidR="00604AC1" w:rsidRPr="00313FB4" w14:paraId="63531BF5" w14:textId="77777777" w:rsidTr="00313FB4">
        <w:tblPrEx>
          <w:tblCellMar>
            <w:top w:w="0" w:type="dxa"/>
            <w:bottom w:w="0" w:type="dxa"/>
          </w:tblCellMar>
        </w:tblPrEx>
        <w:tc>
          <w:tcPr>
            <w:tcW w:w="2400" w:type="dxa"/>
            <w:shd w:val="clear" w:color="auto" w:fill="FFFFFF" w:themeFill="background1"/>
            <w:tcMar>
              <w:top w:w="80" w:type="dxa"/>
              <w:left w:w="120" w:type="dxa"/>
              <w:bottom w:w="80" w:type="dxa"/>
              <w:right w:w="120" w:type="dxa"/>
            </w:tcMar>
            <w:vAlign w:val="center"/>
          </w:tcPr>
          <w:p w14:paraId="47A9C678" w14:textId="77777777" w:rsidR="00604AC1" w:rsidRPr="00313FB4" w:rsidRDefault="00000000">
            <w:pPr>
              <w:rPr>
                <w:color w:val="000000" w:themeColor="text1"/>
              </w:rPr>
            </w:pPr>
            <w:r w:rsidRPr="00313FB4">
              <w:rPr>
                <w:color w:val="000000" w:themeColor="text1"/>
              </w:rPr>
              <w:t>Computer Vision Service</w:t>
            </w:r>
          </w:p>
        </w:tc>
        <w:tc>
          <w:tcPr>
            <w:tcW w:w="3900" w:type="dxa"/>
            <w:shd w:val="clear" w:color="auto" w:fill="FFFFFF" w:themeFill="background1"/>
            <w:tcMar>
              <w:top w:w="80" w:type="dxa"/>
              <w:left w:w="120" w:type="dxa"/>
              <w:bottom w:w="80" w:type="dxa"/>
              <w:right w:w="120" w:type="dxa"/>
            </w:tcMar>
            <w:vAlign w:val="center"/>
          </w:tcPr>
          <w:p w14:paraId="572FB725" w14:textId="77777777" w:rsidR="00604AC1" w:rsidRPr="00313FB4" w:rsidRDefault="00000000">
            <w:pPr>
              <w:rPr>
                <w:color w:val="000000" w:themeColor="text1"/>
              </w:rPr>
            </w:pPr>
            <w:r w:rsidRPr="00313FB4">
              <w:rPr>
                <w:color w:val="000000" w:themeColor="text1"/>
              </w:rPr>
              <w:t>Detects visible structural defects from drone/CCTV imagery.</w:t>
            </w:r>
          </w:p>
        </w:tc>
        <w:tc>
          <w:tcPr>
            <w:tcW w:w="3200" w:type="dxa"/>
            <w:shd w:val="clear" w:color="auto" w:fill="FFFFFF" w:themeFill="background1"/>
            <w:tcMar>
              <w:top w:w="80" w:type="dxa"/>
              <w:left w:w="120" w:type="dxa"/>
              <w:bottom w:w="80" w:type="dxa"/>
              <w:right w:w="120" w:type="dxa"/>
            </w:tcMar>
            <w:vAlign w:val="center"/>
          </w:tcPr>
          <w:p w14:paraId="5C91E034" w14:textId="77777777" w:rsidR="00604AC1" w:rsidRPr="00313FB4" w:rsidRDefault="00000000">
            <w:pPr>
              <w:rPr>
                <w:color w:val="000000" w:themeColor="text1"/>
              </w:rPr>
            </w:pPr>
            <w:r w:rsidRPr="00313FB4">
              <w:rPr>
                <w:color w:val="000000" w:themeColor="text1"/>
              </w:rPr>
              <w:t>Writes results to Data Layer</w:t>
            </w:r>
          </w:p>
        </w:tc>
      </w:tr>
      <w:tr w:rsidR="00604AC1" w:rsidRPr="00313FB4" w14:paraId="21A734C2" w14:textId="77777777" w:rsidTr="00313FB4">
        <w:tblPrEx>
          <w:tblCellMar>
            <w:top w:w="0" w:type="dxa"/>
            <w:bottom w:w="0" w:type="dxa"/>
          </w:tblCellMar>
        </w:tblPrEx>
        <w:tc>
          <w:tcPr>
            <w:tcW w:w="2400" w:type="dxa"/>
            <w:shd w:val="clear" w:color="auto" w:fill="FFFFFF" w:themeFill="background1"/>
            <w:tcMar>
              <w:top w:w="80" w:type="dxa"/>
              <w:left w:w="120" w:type="dxa"/>
              <w:bottom w:w="80" w:type="dxa"/>
              <w:right w:w="120" w:type="dxa"/>
            </w:tcMar>
            <w:vAlign w:val="center"/>
          </w:tcPr>
          <w:p w14:paraId="06646385" w14:textId="77777777" w:rsidR="00604AC1" w:rsidRPr="00313FB4" w:rsidRDefault="00000000">
            <w:pPr>
              <w:rPr>
                <w:color w:val="000000" w:themeColor="text1"/>
              </w:rPr>
            </w:pPr>
            <w:r w:rsidRPr="00313FB4">
              <w:rPr>
                <w:color w:val="000000" w:themeColor="text1"/>
              </w:rPr>
              <w:t>Predictive Maintenance Service</w:t>
            </w:r>
          </w:p>
        </w:tc>
        <w:tc>
          <w:tcPr>
            <w:tcW w:w="3900" w:type="dxa"/>
            <w:shd w:val="clear" w:color="auto" w:fill="FFFFFF" w:themeFill="background1"/>
            <w:tcMar>
              <w:top w:w="80" w:type="dxa"/>
              <w:left w:w="120" w:type="dxa"/>
              <w:bottom w:w="80" w:type="dxa"/>
              <w:right w:w="120" w:type="dxa"/>
            </w:tcMar>
            <w:vAlign w:val="center"/>
          </w:tcPr>
          <w:p w14:paraId="544A8CCD" w14:textId="77777777" w:rsidR="00604AC1" w:rsidRPr="00313FB4" w:rsidRDefault="00000000">
            <w:pPr>
              <w:rPr>
                <w:color w:val="000000" w:themeColor="text1"/>
              </w:rPr>
            </w:pPr>
            <w:r w:rsidRPr="00313FB4">
              <w:rPr>
                <w:color w:val="000000" w:themeColor="text1"/>
              </w:rPr>
              <w:t>Forecasts failure likelihood and maintenance timing.</w:t>
            </w:r>
          </w:p>
        </w:tc>
        <w:tc>
          <w:tcPr>
            <w:tcW w:w="3200" w:type="dxa"/>
            <w:shd w:val="clear" w:color="auto" w:fill="FFFFFF" w:themeFill="background1"/>
            <w:tcMar>
              <w:top w:w="80" w:type="dxa"/>
              <w:left w:w="120" w:type="dxa"/>
              <w:bottom w:w="80" w:type="dxa"/>
              <w:right w:w="120" w:type="dxa"/>
            </w:tcMar>
            <w:vAlign w:val="center"/>
          </w:tcPr>
          <w:p w14:paraId="4B088A1C" w14:textId="77777777" w:rsidR="00604AC1" w:rsidRPr="00313FB4" w:rsidRDefault="00000000">
            <w:pPr>
              <w:rPr>
                <w:color w:val="000000" w:themeColor="text1"/>
              </w:rPr>
            </w:pPr>
            <w:r w:rsidRPr="00313FB4">
              <w:rPr>
                <w:color w:val="000000" w:themeColor="text1"/>
              </w:rPr>
              <w:t>Writes predictions to Data Layer</w:t>
            </w:r>
          </w:p>
        </w:tc>
      </w:tr>
      <w:tr w:rsidR="00604AC1" w:rsidRPr="00313FB4" w14:paraId="3BBFCB5B" w14:textId="77777777" w:rsidTr="00313FB4">
        <w:tblPrEx>
          <w:tblCellMar>
            <w:top w:w="0" w:type="dxa"/>
            <w:bottom w:w="0" w:type="dxa"/>
          </w:tblCellMar>
        </w:tblPrEx>
        <w:tc>
          <w:tcPr>
            <w:tcW w:w="2400" w:type="dxa"/>
            <w:shd w:val="clear" w:color="auto" w:fill="FFFFFF" w:themeFill="background1"/>
            <w:tcMar>
              <w:top w:w="80" w:type="dxa"/>
              <w:left w:w="120" w:type="dxa"/>
              <w:bottom w:w="80" w:type="dxa"/>
              <w:right w:w="120" w:type="dxa"/>
            </w:tcMar>
            <w:vAlign w:val="center"/>
          </w:tcPr>
          <w:p w14:paraId="269FAF20" w14:textId="77777777" w:rsidR="00604AC1" w:rsidRPr="00313FB4" w:rsidRDefault="00000000">
            <w:pPr>
              <w:rPr>
                <w:color w:val="000000" w:themeColor="text1"/>
              </w:rPr>
            </w:pPr>
            <w:r w:rsidRPr="00313FB4">
              <w:rPr>
                <w:color w:val="000000" w:themeColor="text1"/>
              </w:rPr>
              <w:t>Data Layer (TSDB / Data Lake / RDBMS)</w:t>
            </w:r>
          </w:p>
        </w:tc>
        <w:tc>
          <w:tcPr>
            <w:tcW w:w="3900" w:type="dxa"/>
            <w:shd w:val="clear" w:color="auto" w:fill="FFFFFF" w:themeFill="background1"/>
            <w:tcMar>
              <w:top w:w="80" w:type="dxa"/>
              <w:left w:w="120" w:type="dxa"/>
              <w:bottom w:w="80" w:type="dxa"/>
              <w:right w:w="120" w:type="dxa"/>
            </w:tcMar>
            <w:vAlign w:val="center"/>
          </w:tcPr>
          <w:p w14:paraId="570E1E63" w14:textId="77777777" w:rsidR="00604AC1" w:rsidRPr="00313FB4" w:rsidRDefault="00000000">
            <w:pPr>
              <w:rPr>
                <w:color w:val="000000" w:themeColor="text1"/>
              </w:rPr>
            </w:pPr>
            <w:r w:rsidRPr="00313FB4">
              <w:rPr>
                <w:color w:val="000000" w:themeColor="text1"/>
              </w:rPr>
              <w:t>Persists telemetry, imagery, asset, and prediction data.</w:t>
            </w:r>
          </w:p>
        </w:tc>
        <w:tc>
          <w:tcPr>
            <w:tcW w:w="3200" w:type="dxa"/>
            <w:shd w:val="clear" w:color="auto" w:fill="FFFFFF" w:themeFill="background1"/>
            <w:tcMar>
              <w:top w:w="80" w:type="dxa"/>
              <w:left w:w="120" w:type="dxa"/>
              <w:bottom w:w="80" w:type="dxa"/>
              <w:right w:w="120" w:type="dxa"/>
            </w:tcMar>
            <w:vAlign w:val="center"/>
          </w:tcPr>
          <w:p w14:paraId="53B0ABE8" w14:textId="77777777" w:rsidR="00604AC1" w:rsidRPr="00313FB4" w:rsidRDefault="00000000">
            <w:pPr>
              <w:rPr>
                <w:color w:val="000000" w:themeColor="text1"/>
              </w:rPr>
            </w:pPr>
            <w:r w:rsidRPr="00313FB4">
              <w:rPr>
                <w:color w:val="000000" w:themeColor="text1"/>
              </w:rPr>
              <w:t>Queried by Application Services via internal APIs</w:t>
            </w:r>
          </w:p>
        </w:tc>
      </w:tr>
      <w:tr w:rsidR="00604AC1" w:rsidRPr="00313FB4" w14:paraId="13B5061E" w14:textId="77777777" w:rsidTr="00313FB4">
        <w:tblPrEx>
          <w:tblCellMar>
            <w:top w:w="0" w:type="dxa"/>
            <w:bottom w:w="0" w:type="dxa"/>
          </w:tblCellMar>
        </w:tblPrEx>
        <w:tc>
          <w:tcPr>
            <w:tcW w:w="2400" w:type="dxa"/>
            <w:shd w:val="clear" w:color="auto" w:fill="FFFFFF" w:themeFill="background1"/>
            <w:tcMar>
              <w:top w:w="80" w:type="dxa"/>
              <w:left w:w="120" w:type="dxa"/>
              <w:bottom w:w="80" w:type="dxa"/>
              <w:right w:w="120" w:type="dxa"/>
            </w:tcMar>
            <w:vAlign w:val="center"/>
          </w:tcPr>
          <w:p w14:paraId="47E9475D" w14:textId="77777777" w:rsidR="00604AC1" w:rsidRPr="00313FB4" w:rsidRDefault="00000000">
            <w:pPr>
              <w:rPr>
                <w:color w:val="000000" w:themeColor="text1"/>
              </w:rPr>
            </w:pPr>
            <w:r w:rsidRPr="00313FB4">
              <w:rPr>
                <w:color w:val="000000" w:themeColor="text1"/>
              </w:rPr>
              <w:t>Application Microservices</w:t>
            </w:r>
          </w:p>
        </w:tc>
        <w:tc>
          <w:tcPr>
            <w:tcW w:w="3900" w:type="dxa"/>
            <w:shd w:val="clear" w:color="auto" w:fill="FFFFFF" w:themeFill="background1"/>
            <w:tcMar>
              <w:top w:w="80" w:type="dxa"/>
              <w:left w:w="120" w:type="dxa"/>
              <w:bottom w:w="80" w:type="dxa"/>
              <w:right w:w="120" w:type="dxa"/>
            </w:tcMar>
            <w:vAlign w:val="center"/>
          </w:tcPr>
          <w:p w14:paraId="5B638470" w14:textId="77777777" w:rsidR="00604AC1" w:rsidRPr="00313FB4" w:rsidRDefault="00000000">
            <w:pPr>
              <w:rPr>
                <w:color w:val="000000" w:themeColor="text1"/>
              </w:rPr>
            </w:pPr>
            <w:r w:rsidRPr="00313FB4">
              <w:rPr>
                <w:color w:val="000000" w:themeColor="text1"/>
              </w:rPr>
              <w:t>Asset management, scheduling, alerting, reporting, identity/access.</w:t>
            </w:r>
          </w:p>
        </w:tc>
        <w:tc>
          <w:tcPr>
            <w:tcW w:w="3200" w:type="dxa"/>
            <w:shd w:val="clear" w:color="auto" w:fill="FFFFFF" w:themeFill="background1"/>
            <w:tcMar>
              <w:top w:w="80" w:type="dxa"/>
              <w:left w:w="120" w:type="dxa"/>
              <w:bottom w:w="80" w:type="dxa"/>
              <w:right w:w="120" w:type="dxa"/>
            </w:tcMar>
            <w:vAlign w:val="center"/>
          </w:tcPr>
          <w:p w14:paraId="13DCABBC" w14:textId="77777777" w:rsidR="00604AC1" w:rsidRPr="00313FB4" w:rsidRDefault="00000000">
            <w:pPr>
              <w:rPr>
                <w:color w:val="000000" w:themeColor="text1"/>
              </w:rPr>
            </w:pPr>
            <w:r w:rsidRPr="00313FB4">
              <w:rPr>
                <w:color w:val="000000" w:themeColor="text1"/>
              </w:rPr>
              <w:t>REST APIs via External Gateway</w:t>
            </w:r>
          </w:p>
        </w:tc>
      </w:tr>
      <w:tr w:rsidR="00604AC1" w:rsidRPr="00313FB4" w14:paraId="5EEC6A82" w14:textId="77777777" w:rsidTr="00313FB4">
        <w:tblPrEx>
          <w:tblCellMar>
            <w:top w:w="0" w:type="dxa"/>
            <w:bottom w:w="0" w:type="dxa"/>
          </w:tblCellMar>
        </w:tblPrEx>
        <w:tc>
          <w:tcPr>
            <w:tcW w:w="2400" w:type="dxa"/>
            <w:shd w:val="clear" w:color="auto" w:fill="FFFFFF" w:themeFill="background1"/>
            <w:tcMar>
              <w:top w:w="80" w:type="dxa"/>
              <w:left w:w="120" w:type="dxa"/>
              <w:bottom w:w="80" w:type="dxa"/>
              <w:right w:w="120" w:type="dxa"/>
            </w:tcMar>
            <w:vAlign w:val="center"/>
          </w:tcPr>
          <w:p w14:paraId="22B876EE" w14:textId="77777777" w:rsidR="00604AC1" w:rsidRPr="00313FB4" w:rsidRDefault="00000000">
            <w:pPr>
              <w:rPr>
                <w:color w:val="000000" w:themeColor="text1"/>
              </w:rPr>
            </w:pPr>
            <w:r w:rsidRPr="00313FB4">
              <w:rPr>
                <w:color w:val="000000" w:themeColor="text1"/>
              </w:rPr>
              <w:t>External API Gateway</w:t>
            </w:r>
          </w:p>
        </w:tc>
        <w:tc>
          <w:tcPr>
            <w:tcW w:w="3900" w:type="dxa"/>
            <w:shd w:val="clear" w:color="auto" w:fill="FFFFFF" w:themeFill="background1"/>
            <w:tcMar>
              <w:top w:w="80" w:type="dxa"/>
              <w:left w:w="120" w:type="dxa"/>
              <w:bottom w:w="80" w:type="dxa"/>
              <w:right w:w="120" w:type="dxa"/>
            </w:tcMar>
            <w:vAlign w:val="center"/>
          </w:tcPr>
          <w:p w14:paraId="19B74D9F" w14:textId="77777777" w:rsidR="00604AC1" w:rsidRPr="00313FB4" w:rsidRDefault="00000000">
            <w:pPr>
              <w:rPr>
                <w:color w:val="000000" w:themeColor="text1"/>
              </w:rPr>
            </w:pPr>
            <w:r w:rsidRPr="00313FB4">
              <w:rPr>
                <w:color w:val="000000" w:themeColor="text1"/>
              </w:rPr>
              <w:t>Authenticates, rate-limits, and routes external/client requests.</w:t>
            </w:r>
          </w:p>
        </w:tc>
        <w:tc>
          <w:tcPr>
            <w:tcW w:w="3200" w:type="dxa"/>
            <w:shd w:val="clear" w:color="auto" w:fill="FFFFFF" w:themeFill="background1"/>
            <w:tcMar>
              <w:top w:w="80" w:type="dxa"/>
              <w:left w:w="120" w:type="dxa"/>
              <w:bottom w:w="80" w:type="dxa"/>
              <w:right w:w="120" w:type="dxa"/>
            </w:tcMar>
            <w:vAlign w:val="center"/>
          </w:tcPr>
          <w:p w14:paraId="28299957" w14:textId="77777777" w:rsidR="00604AC1" w:rsidRPr="00313FB4" w:rsidRDefault="00000000">
            <w:pPr>
              <w:rPr>
                <w:color w:val="000000" w:themeColor="text1"/>
              </w:rPr>
            </w:pPr>
            <w:r w:rsidRPr="00313FB4">
              <w:rPr>
                <w:color w:val="000000" w:themeColor="text1"/>
              </w:rPr>
              <w:t>HTTPS to Presentation Layer &amp; External Systems</w:t>
            </w:r>
          </w:p>
        </w:tc>
      </w:tr>
      <w:tr w:rsidR="00604AC1" w:rsidRPr="00313FB4" w14:paraId="6A3C0722" w14:textId="77777777" w:rsidTr="00313FB4">
        <w:tblPrEx>
          <w:tblCellMar>
            <w:top w:w="0" w:type="dxa"/>
            <w:bottom w:w="0" w:type="dxa"/>
          </w:tblCellMar>
        </w:tblPrEx>
        <w:tc>
          <w:tcPr>
            <w:tcW w:w="2400" w:type="dxa"/>
            <w:shd w:val="clear" w:color="auto" w:fill="FFFFFF" w:themeFill="background1"/>
            <w:tcMar>
              <w:top w:w="80" w:type="dxa"/>
              <w:left w:w="120" w:type="dxa"/>
              <w:bottom w:w="80" w:type="dxa"/>
              <w:right w:w="120" w:type="dxa"/>
            </w:tcMar>
            <w:vAlign w:val="center"/>
          </w:tcPr>
          <w:p w14:paraId="2EBED724" w14:textId="77777777" w:rsidR="00604AC1" w:rsidRPr="00313FB4" w:rsidRDefault="00000000">
            <w:pPr>
              <w:rPr>
                <w:color w:val="000000" w:themeColor="text1"/>
              </w:rPr>
            </w:pPr>
            <w:r w:rsidRPr="00313FB4">
              <w:rPr>
                <w:color w:val="000000" w:themeColor="text1"/>
              </w:rPr>
              <w:t>Presentation Layer</w:t>
            </w:r>
          </w:p>
        </w:tc>
        <w:tc>
          <w:tcPr>
            <w:tcW w:w="3900" w:type="dxa"/>
            <w:shd w:val="clear" w:color="auto" w:fill="FFFFFF" w:themeFill="background1"/>
            <w:tcMar>
              <w:top w:w="80" w:type="dxa"/>
              <w:left w:w="120" w:type="dxa"/>
              <w:bottom w:w="80" w:type="dxa"/>
              <w:right w:w="120" w:type="dxa"/>
            </w:tcMar>
            <w:vAlign w:val="center"/>
          </w:tcPr>
          <w:p w14:paraId="6A5058B7" w14:textId="77777777" w:rsidR="00604AC1" w:rsidRPr="00313FB4" w:rsidRDefault="00000000">
            <w:pPr>
              <w:rPr>
                <w:color w:val="000000" w:themeColor="text1"/>
              </w:rPr>
            </w:pPr>
            <w:r w:rsidRPr="00313FB4">
              <w:rPr>
                <w:color w:val="000000" w:themeColor="text1"/>
              </w:rPr>
              <w:t>Web dashboard, mobile app, and admin console for end users.</w:t>
            </w:r>
          </w:p>
        </w:tc>
        <w:tc>
          <w:tcPr>
            <w:tcW w:w="3200" w:type="dxa"/>
            <w:shd w:val="clear" w:color="auto" w:fill="FFFFFF" w:themeFill="background1"/>
            <w:tcMar>
              <w:top w:w="80" w:type="dxa"/>
              <w:left w:w="120" w:type="dxa"/>
              <w:bottom w:w="80" w:type="dxa"/>
              <w:right w:w="120" w:type="dxa"/>
            </w:tcMar>
            <w:vAlign w:val="center"/>
          </w:tcPr>
          <w:p w14:paraId="2768601D" w14:textId="77777777" w:rsidR="00604AC1" w:rsidRPr="00313FB4" w:rsidRDefault="00000000">
            <w:pPr>
              <w:rPr>
                <w:color w:val="000000" w:themeColor="text1"/>
              </w:rPr>
            </w:pPr>
            <w:r w:rsidRPr="00313FB4">
              <w:rPr>
                <w:color w:val="000000" w:themeColor="text1"/>
              </w:rPr>
              <w:t>HTTPS/REST to External API Gateway</w:t>
            </w:r>
          </w:p>
        </w:tc>
      </w:tr>
    </w:tbl>
    <w:p w14:paraId="1BEA91F3" w14:textId="77777777" w:rsidR="00604AC1" w:rsidRPr="00313FB4" w:rsidRDefault="00000000">
      <w:pPr>
        <w:pStyle w:val="Heading2"/>
        <w:spacing w:before="240" w:after="120"/>
        <w:rPr>
          <w:color w:val="000000" w:themeColor="text1"/>
        </w:rPr>
      </w:pPr>
      <w:r w:rsidRPr="00313FB4">
        <w:rPr>
          <w:b/>
          <w:bCs/>
          <w:color w:val="000000" w:themeColor="text1"/>
        </w:rPr>
        <w:t>4.1 Overall Workflow</w:t>
      </w:r>
    </w:p>
    <w:p w14:paraId="10EDCEA7" w14:textId="77777777" w:rsidR="00604AC1" w:rsidRPr="00313FB4" w:rsidRDefault="00000000">
      <w:pPr>
        <w:spacing w:after="160" w:line="300" w:lineRule="auto"/>
        <w:jc w:val="both"/>
        <w:rPr>
          <w:color w:val="000000" w:themeColor="text1"/>
        </w:rPr>
      </w:pPr>
      <w:r w:rsidRPr="00313FB4">
        <w:rPr>
          <w:color w:val="000000" w:themeColor="text1"/>
        </w:rPr>
        <w:t>Sensors, cameras, and drones at the Field/Edge Layer capture raw condition data, which edge gateways lightly pre-process before transmitting it over the Communication Layer (5G/</w:t>
      </w:r>
      <w:proofErr w:type="spellStart"/>
      <w:r w:rsidRPr="00313FB4">
        <w:rPr>
          <w:color w:val="000000" w:themeColor="text1"/>
        </w:rPr>
        <w:t>LoRaWAN</w:t>
      </w:r>
      <w:proofErr w:type="spellEnd"/>
      <w:r w:rsidRPr="00313FB4">
        <w:rPr>
          <w:color w:val="000000" w:themeColor="text1"/>
        </w:rPr>
        <w:t>/satellite) to the cloud. The Ingestion &amp; Streaming Layer receives this data through the API Gateway and publishes it to a message broker (e.g., Kafka), where it is validated and passed to the AI/ML Processing Layer. There, microservices perform anomaly detection, computer-vision defect analysis, and predictive maintenance scoring, writing results to the Data Layer (time-series database, data lake, relational database, and model registry). The Application Service Layer consumes this processed data to manage assets, schedule maintenance, raise alerts, and generate reports. Finally, the External/Presentation API Gateway exposes this functionality securely to the Presentation Layer (web dashboard, mobile app, admin console) and to External Systems (SCADA, GIS, ERP, regulatory reporting) through well-defined APIs.</w:t>
      </w:r>
    </w:p>
    <w:p w14:paraId="0E1D9910" w14:textId="77777777" w:rsidR="00604AC1" w:rsidRPr="00313FB4" w:rsidRDefault="00000000">
      <w:pPr>
        <w:pStyle w:val="Heading1"/>
        <w:pBdr>
          <w:bottom w:val="single" w:sz="6" w:space="4" w:color="2F5496"/>
        </w:pBdr>
        <w:spacing w:before="320" w:after="160"/>
        <w:rPr>
          <w:color w:val="000000" w:themeColor="text1"/>
        </w:rPr>
      </w:pPr>
      <w:r w:rsidRPr="00313FB4">
        <w:rPr>
          <w:b/>
          <w:bCs/>
          <w:color w:val="000000" w:themeColor="text1"/>
        </w:rPr>
        <w:t>5. Discussion of Quality Attributes</w:t>
      </w:r>
    </w:p>
    <w:p w14:paraId="2085BDBA" w14:textId="77777777" w:rsidR="00604AC1" w:rsidRPr="00313FB4" w:rsidRDefault="00000000">
      <w:pPr>
        <w:pStyle w:val="Heading2"/>
        <w:spacing w:before="240" w:after="120"/>
        <w:rPr>
          <w:color w:val="000000" w:themeColor="text1"/>
        </w:rPr>
      </w:pPr>
      <w:r w:rsidRPr="00313FB4">
        <w:rPr>
          <w:b/>
          <w:bCs/>
          <w:color w:val="000000" w:themeColor="text1"/>
        </w:rPr>
        <w:t>5.1 Scalability</w:t>
      </w:r>
    </w:p>
    <w:p w14:paraId="45CC43EA" w14:textId="77777777" w:rsidR="00604AC1" w:rsidRPr="00313FB4" w:rsidRDefault="00000000">
      <w:pPr>
        <w:spacing w:after="160" w:line="300" w:lineRule="auto"/>
        <w:jc w:val="both"/>
        <w:rPr>
          <w:color w:val="000000" w:themeColor="text1"/>
        </w:rPr>
      </w:pPr>
      <w:r w:rsidRPr="00313FB4">
        <w:rPr>
          <w:color w:val="000000" w:themeColor="text1"/>
        </w:rPr>
        <w:t>Each microservice (anomaly detection, computer vision, predictive maintenance) can be scaled horizontally and independently based on load. The Kafka-based message broker supports partitioning, allowing ingestion throughput to grow with the number of connected sensors without architectural change.</w:t>
      </w:r>
    </w:p>
    <w:p w14:paraId="48563C74" w14:textId="77777777" w:rsidR="00604AC1" w:rsidRPr="00313FB4" w:rsidRDefault="00000000">
      <w:pPr>
        <w:pStyle w:val="Heading2"/>
        <w:spacing w:before="240" w:after="120"/>
        <w:rPr>
          <w:color w:val="000000" w:themeColor="text1"/>
        </w:rPr>
      </w:pPr>
      <w:r w:rsidRPr="00313FB4">
        <w:rPr>
          <w:b/>
          <w:bCs/>
          <w:color w:val="000000" w:themeColor="text1"/>
        </w:rPr>
        <w:t>5.2 Security</w:t>
      </w:r>
    </w:p>
    <w:p w14:paraId="2F59FCD1" w14:textId="77777777" w:rsidR="00604AC1" w:rsidRPr="00313FB4" w:rsidRDefault="00000000">
      <w:pPr>
        <w:spacing w:after="160" w:line="300" w:lineRule="auto"/>
        <w:jc w:val="both"/>
        <w:rPr>
          <w:color w:val="000000" w:themeColor="text1"/>
        </w:rPr>
      </w:pPr>
      <w:r w:rsidRPr="00313FB4">
        <w:rPr>
          <w:color w:val="000000" w:themeColor="text1"/>
        </w:rPr>
        <w:t>All communication uses TLS encryption; the API Gateway enforces authentication (OAuth2) and role-based authorization. Network segmentation isolates the OT-facing edge/communication layers from the IT-facing application layers, reducing the attack surface on safety-critical infrastructure.</w:t>
      </w:r>
    </w:p>
    <w:p w14:paraId="2A44AD20" w14:textId="77777777" w:rsidR="00604AC1" w:rsidRPr="00313FB4" w:rsidRDefault="00000000">
      <w:pPr>
        <w:pStyle w:val="Heading2"/>
        <w:spacing w:before="240" w:after="120"/>
        <w:rPr>
          <w:color w:val="000000" w:themeColor="text1"/>
        </w:rPr>
      </w:pPr>
      <w:r w:rsidRPr="00313FB4">
        <w:rPr>
          <w:b/>
          <w:bCs/>
          <w:color w:val="000000" w:themeColor="text1"/>
        </w:rPr>
        <w:t>5.3 Performance</w:t>
      </w:r>
    </w:p>
    <w:p w14:paraId="27B27E3E" w14:textId="77777777" w:rsidR="00604AC1" w:rsidRPr="00313FB4" w:rsidRDefault="00000000">
      <w:pPr>
        <w:spacing w:after="160" w:line="300" w:lineRule="auto"/>
        <w:jc w:val="both"/>
        <w:rPr>
          <w:color w:val="000000" w:themeColor="text1"/>
        </w:rPr>
      </w:pPr>
      <w:r w:rsidRPr="00313FB4">
        <w:rPr>
          <w:color w:val="000000" w:themeColor="text1"/>
        </w:rPr>
        <w:t>Edge pre-processing filters noise and reduces data volume before transmission, lowering end-to-end latency. Stream processing at the ingestion layer enables near-real-time anomaly detection, keeping the alert path fast enough for safety-critical notifications.</w:t>
      </w:r>
    </w:p>
    <w:p w14:paraId="05A1CD4B" w14:textId="77777777" w:rsidR="00604AC1" w:rsidRPr="00313FB4" w:rsidRDefault="00000000">
      <w:pPr>
        <w:pStyle w:val="Heading2"/>
        <w:spacing w:before="240" w:after="120"/>
        <w:rPr>
          <w:color w:val="000000" w:themeColor="text1"/>
        </w:rPr>
      </w:pPr>
      <w:r w:rsidRPr="00313FB4">
        <w:rPr>
          <w:b/>
          <w:bCs/>
          <w:color w:val="000000" w:themeColor="text1"/>
        </w:rPr>
        <w:t>5.4 Reliability</w:t>
      </w:r>
    </w:p>
    <w:p w14:paraId="2B4D75A3" w14:textId="77777777" w:rsidR="00604AC1" w:rsidRPr="00313FB4" w:rsidRDefault="00000000">
      <w:pPr>
        <w:spacing w:after="160" w:line="300" w:lineRule="auto"/>
        <w:jc w:val="both"/>
        <w:rPr>
          <w:color w:val="000000" w:themeColor="text1"/>
        </w:rPr>
      </w:pPr>
      <w:r w:rsidRPr="00313FB4">
        <w:rPr>
          <w:color w:val="000000" w:themeColor="text1"/>
        </w:rPr>
        <w:t xml:space="preserve">The message broker provides durable, </w:t>
      </w:r>
      <w:proofErr w:type="spellStart"/>
      <w:r w:rsidRPr="00313FB4">
        <w:rPr>
          <w:color w:val="000000" w:themeColor="text1"/>
        </w:rPr>
        <w:t>replayable</w:t>
      </w:r>
      <w:proofErr w:type="spellEnd"/>
      <w:r w:rsidRPr="00313FB4">
        <w:rPr>
          <w:color w:val="000000" w:themeColor="text1"/>
        </w:rPr>
        <w:t xml:space="preserve"> storage of ingested events, so processing failures do not result in data loss. Circuit breakers and retry policies between microservices prevent cascading failures across the platform.</w:t>
      </w:r>
    </w:p>
    <w:p w14:paraId="55A6BB51" w14:textId="77777777" w:rsidR="00604AC1" w:rsidRPr="00313FB4" w:rsidRDefault="00000000">
      <w:pPr>
        <w:pStyle w:val="Heading2"/>
        <w:spacing w:before="240" w:after="120"/>
        <w:rPr>
          <w:color w:val="000000" w:themeColor="text1"/>
        </w:rPr>
      </w:pPr>
      <w:r w:rsidRPr="00313FB4">
        <w:rPr>
          <w:b/>
          <w:bCs/>
          <w:color w:val="000000" w:themeColor="text1"/>
        </w:rPr>
        <w:t>5.5 Maintainability</w:t>
      </w:r>
    </w:p>
    <w:p w14:paraId="786CE8BD" w14:textId="77777777" w:rsidR="00604AC1" w:rsidRPr="00313FB4" w:rsidRDefault="00000000">
      <w:pPr>
        <w:spacing w:after="160" w:line="300" w:lineRule="auto"/>
        <w:jc w:val="both"/>
        <w:rPr>
          <w:color w:val="000000" w:themeColor="text1"/>
        </w:rPr>
      </w:pPr>
      <w:r w:rsidRPr="00313FB4">
        <w:rPr>
          <w:color w:val="000000" w:themeColor="text1"/>
        </w:rPr>
        <w:t>Loose coupling between microservices, combined with well-defined API contracts, allows AI models and application features to be updated independently through CI/CD pipelines without requiring a full-system redeployment.</w:t>
      </w:r>
    </w:p>
    <w:p w14:paraId="0529A475" w14:textId="77777777" w:rsidR="00604AC1" w:rsidRPr="00313FB4" w:rsidRDefault="00000000">
      <w:pPr>
        <w:pStyle w:val="Heading2"/>
        <w:spacing w:before="240" w:after="120"/>
        <w:rPr>
          <w:color w:val="000000" w:themeColor="text1"/>
        </w:rPr>
      </w:pPr>
      <w:r w:rsidRPr="00313FB4">
        <w:rPr>
          <w:b/>
          <w:bCs/>
          <w:color w:val="000000" w:themeColor="text1"/>
        </w:rPr>
        <w:t>5.6 Availability</w:t>
      </w:r>
    </w:p>
    <w:p w14:paraId="2996D17B" w14:textId="77777777" w:rsidR="00604AC1" w:rsidRPr="00313FB4" w:rsidRDefault="00000000">
      <w:pPr>
        <w:spacing w:after="160" w:line="300" w:lineRule="auto"/>
        <w:jc w:val="both"/>
        <w:rPr>
          <w:color w:val="000000" w:themeColor="text1"/>
        </w:rPr>
      </w:pPr>
      <w:r w:rsidRPr="00313FB4">
        <w:rPr>
          <w:color w:val="000000" w:themeColor="text1"/>
        </w:rPr>
        <w:t xml:space="preserve">Critical services are deployed with redundancy and health-check-driven </w:t>
      </w:r>
      <w:proofErr w:type="gramStart"/>
      <w:r w:rsidRPr="00313FB4">
        <w:rPr>
          <w:color w:val="000000" w:themeColor="text1"/>
        </w:rPr>
        <w:t>failover</w:t>
      </w:r>
      <w:proofErr w:type="gramEnd"/>
      <w:r w:rsidRPr="00313FB4">
        <w:rPr>
          <w:color w:val="000000" w:themeColor="text1"/>
        </w:rPr>
        <w:t xml:space="preserve"> across multiple availability zones, supporting the 99.5%+ uptime target required for continuous railway operations.</w:t>
      </w:r>
    </w:p>
    <w:p w14:paraId="19EF1F46" w14:textId="77777777" w:rsidR="00604AC1" w:rsidRPr="00313FB4" w:rsidRDefault="00000000">
      <w:pPr>
        <w:pStyle w:val="Heading1"/>
        <w:pBdr>
          <w:bottom w:val="single" w:sz="6" w:space="4" w:color="2F5496"/>
        </w:pBdr>
        <w:spacing w:before="320" w:after="160"/>
        <w:rPr>
          <w:color w:val="000000" w:themeColor="text1"/>
        </w:rPr>
      </w:pPr>
      <w:r w:rsidRPr="00313FB4">
        <w:rPr>
          <w:b/>
          <w:bCs/>
          <w:color w:val="000000" w:themeColor="text1"/>
        </w:rPr>
        <w:t>6. Justification of Architectural Decisions</w:t>
      </w:r>
    </w:p>
    <w:p w14:paraId="058F6DC4" w14:textId="77777777" w:rsidR="00604AC1" w:rsidRPr="00313FB4" w:rsidRDefault="00000000">
      <w:pPr>
        <w:pStyle w:val="Heading2"/>
        <w:spacing w:before="240" w:after="120"/>
        <w:rPr>
          <w:color w:val="000000" w:themeColor="text1"/>
        </w:rPr>
      </w:pPr>
      <w:r w:rsidRPr="00313FB4">
        <w:rPr>
          <w:b/>
          <w:bCs/>
          <w:color w:val="000000" w:themeColor="text1"/>
        </w:rPr>
        <w:t>6.1 Rationale</w:t>
      </w:r>
    </w:p>
    <w:p w14:paraId="6A72A78E" w14:textId="77777777" w:rsidR="00604AC1" w:rsidRPr="00313FB4" w:rsidRDefault="00000000">
      <w:pPr>
        <w:spacing w:after="160" w:line="300" w:lineRule="auto"/>
        <w:jc w:val="both"/>
        <w:rPr>
          <w:color w:val="000000" w:themeColor="text1"/>
        </w:rPr>
      </w:pPr>
      <w:r w:rsidRPr="00313FB4">
        <w:rPr>
          <w:color w:val="000000" w:themeColor="text1"/>
        </w:rPr>
        <w:t xml:space="preserve">The combination of event-driven ingestion and microservices processing directly addresses the two defining characteristics of this problem: a continuous, high-volume, asynchronous data stream from distributed field assets, and computationally diverse AI workloads that must </w:t>
      </w:r>
      <w:proofErr w:type="gramStart"/>
      <w:r w:rsidRPr="00313FB4">
        <w:rPr>
          <w:color w:val="000000" w:themeColor="text1"/>
        </w:rPr>
        <w:t>scale</w:t>
      </w:r>
      <w:proofErr w:type="gramEnd"/>
      <w:r w:rsidRPr="00313FB4">
        <w:rPr>
          <w:color w:val="000000" w:themeColor="text1"/>
        </w:rPr>
        <w:t xml:space="preserve"> independently. Edge pre-processing was included specifically to address the geographic and connectivity constraints of railway networks.</w:t>
      </w:r>
    </w:p>
    <w:p w14:paraId="4B92EAFF" w14:textId="77777777" w:rsidR="00604AC1" w:rsidRPr="00313FB4" w:rsidRDefault="00000000">
      <w:pPr>
        <w:pStyle w:val="Heading2"/>
        <w:spacing w:before="240" w:after="120"/>
        <w:rPr>
          <w:color w:val="000000" w:themeColor="text1"/>
        </w:rPr>
      </w:pPr>
      <w:r w:rsidRPr="00313FB4">
        <w:rPr>
          <w:b/>
          <w:bCs/>
          <w:color w:val="000000" w:themeColor="text1"/>
        </w:rPr>
        <w:t>6.2 Trade-offs Considered</w:t>
      </w:r>
    </w:p>
    <w:p w14:paraId="5E4E0E81" w14:textId="77777777" w:rsidR="00604AC1" w:rsidRPr="00313FB4" w:rsidRDefault="00000000">
      <w:pPr>
        <w:pStyle w:val="ListParagraph"/>
        <w:numPr>
          <w:ilvl w:val="0"/>
          <w:numId w:val="2"/>
        </w:numPr>
        <w:spacing w:after="80" w:line="280" w:lineRule="auto"/>
        <w:rPr>
          <w:color w:val="000000" w:themeColor="text1"/>
        </w:rPr>
      </w:pPr>
      <w:r w:rsidRPr="00313FB4">
        <w:rPr>
          <w:b/>
          <w:bCs/>
          <w:color w:val="000000" w:themeColor="text1"/>
        </w:rPr>
        <w:t xml:space="preserve">Complexity vs. simplicity — </w:t>
      </w:r>
      <w:r w:rsidRPr="00313FB4">
        <w:rPr>
          <w:color w:val="000000" w:themeColor="text1"/>
        </w:rPr>
        <w:t>a microservices approach introduces operational complexity (service discovery, distributed tracing, inter-service communication) compared to a monolith, but this is justified by the independent scaling needs of AI workloads.</w:t>
      </w:r>
    </w:p>
    <w:p w14:paraId="738F4AD8" w14:textId="77777777" w:rsidR="00604AC1" w:rsidRPr="00313FB4" w:rsidRDefault="00000000">
      <w:pPr>
        <w:pStyle w:val="ListParagraph"/>
        <w:numPr>
          <w:ilvl w:val="0"/>
          <w:numId w:val="2"/>
        </w:numPr>
        <w:spacing w:after="80" w:line="280" w:lineRule="auto"/>
        <w:rPr>
          <w:color w:val="000000" w:themeColor="text1"/>
        </w:rPr>
      </w:pPr>
      <w:r w:rsidRPr="00313FB4">
        <w:rPr>
          <w:b/>
          <w:bCs/>
          <w:color w:val="000000" w:themeColor="text1"/>
        </w:rPr>
        <w:t xml:space="preserve">Eventual consistency vs. strong consistency — </w:t>
      </w:r>
      <w:r w:rsidRPr="00313FB4">
        <w:rPr>
          <w:color w:val="000000" w:themeColor="text1"/>
        </w:rPr>
        <w:t>the event-driven pipeline favors eventual consistency between ingestion and processing, which is acceptable for monitoring/analytics but was explicitly excluded from safety-control functions (signaling remains outside platform scope).</w:t>
      </w:r>
    </w:p>
    <w:p w14:paraId="5B373475" w14:textId="77777777" w:rsidR="00604AC1" w:rsidRPr="00313FB4" w:rsidRDefault="00000000">
      <w:pPr>
        <w:pStyle w:val="ListParagraph"/>
        <w:numPr>
          <w:ilvl w:val="0"/>
          <w:numId w:val="2"/>
        </w:numPr>
        <w:spacing w:after="80" w:line="280" w:lineRule="auto"/>
        <w:rPr>
          <w:color w:val="000000" w:themeColor="text1"/>
        </w:rPr>
      </w:pPr>
      <w:r w:rsidRPr="00313FB4">
        <w:rPr>
          <w:b/>
          <w:bCs/>
          <w:color w:val="000000" w:themeColor="text1"/>
        </w:rPr>
        <w:t xml:space="preserve">Cost vs. responsiveness — </w:t>
      </w:r>
      <w:r w:rsidRPr="00313FB4">
        <w:rPr>
          <w:color w:val="000000" w:themeColor="text1"/>
        </w:rPr>
        <w:t>edge pre-processing adds hardware/deployment cost at trackside locations but significantly reduces bandwidth cost and alert latency for remote corridors.</w:t>
      </w:r>
    </w:p>
    <w:p w14:paraId="6FE44D3C" w14:textId="77777777" w:rsidR="00604AC1" w:rsidRPr="00313FB4" w:rsidRDefault="00000000">
      <w:pPr>
        <w:pStyle w:val="Heading2"/>
        <w:spacing w:before="240" w:after="120"/>
        <w:rPr>
          <w:color w:val="000000" w:themeColor="text1"/>
        </w:rPr>
      </w:pPr>
      <w:r w:rsidRPr="00313FB4">
        <w:rPr>
          <w:b/>
          <w:bCs/>
          <w:color w:val="000000" w:themeColor="text1"/>
        </w:rPr>
        <w:t>6.3 Support for Future Enhancements</w:t>
      </w:r>
    </w:p>
    <w:p w14:paraId="2473E3BF" w14:textId="77777777" w:rsidR="00604AC1" w:rsidRPr="00313FB4" w:rsidRDefault="00000000">
      <w:pPr>
        <w:pStyle w:val="ListParagraph"/>
        <w:numPr>
          <w:ilvl w:val="0"/>
          <w:numId w:val="2"/>
        </w:numPr>
        <w:spacing w:after="80" w:line="280" w:lineRule="auto"/>
        <w:rPr>
          <w:color w:val="000000" w:themeColor="text1"/>
        </w:rPr>
      </w:pPr>
      <w:r w:rsidRPr="00313FB4">
        <w:rPr>
          <w:color w:val="000000" w:themeColor="text1"/>
        </w:rPr>
        <w:t xml:space="preserve">New sensor types or additional railway asset categories can be </w:t>
      </w:r>
      <w:proofErr w:type="gramStart"/>
      <w:r w:rsidRPr="00313FB4">
        <w:rPr>
          <w:color w:val="000000" w:themeColor="text1"/>
        </w:rPr>
        <w:t>onboarded</w:t>
      </w:r>
      <w:proofErr w:type="gramEnd"/>
      <w:r w:rsidRPr="00313FB4">
        <w:rPr>
          <w:color w:val="000000" w:themeColor="text1"/>
        </w:rPr>
        <w:t xml:space="preserve"> by adding new producers to the existing message broker without redesigning downstream services.</w:t>
      </w:r>
    </w:p>
    <w:p w14:paraId="0CF4CE10" w14:textId="77777777" w:rsidR="00604AC1" w:rsidRPr="00313FB4" w:rsidRDefault="00000000">
      <w:pPr>
        <w:pStyle w:val="ListParagraph"/>
        <w:numPr>
          <w:ilvl w:val="0"/>
          <w:numId w:val="2"/>
        </w:numPr>
        <w:spacing w:after="80" w:line="280" w:lineRule="auto"/>
        <w:rPr>
          <w:color w:val="000000" w:themeColor="text1"/>
        </w:rPr>
      </w:pPr>
      <w:r w:rsidRPr="00313FB4">
        <w:rPr>
          <w:color w:val="000000" w:themeColor="text1"/>
        </w:rPr>
        <w:t>Additional AI/ML models (e.g., for weather-correlated risk prediction) can be deployed as new microservices consuming the same event streams.</w:t>
      </w:r>
    </w:p>
    <w:p w14:paraId="2691EDB7" w14:textId="77777777" w:rsidR="00604AC1" w:rsidRPr="00313FB4" w:rsidRDefault="00000000">
      <w:pPr>
        <w:pStyle w:val="ListParagraph"/>
        <w:numPr>
          <w:ilvl w:val="0"/>
          <w:numId w:val="2"/>
        </w:numPr>
        <w:spacing w:after="80" w:line="280" w:lineRule="auto"/>
        <w:rPr>
          <w:color w:val="000000" w:themeColor="text1"/>
        </w:rPr>
      </w:pPr>
      <w:r w:rsidRPr="00313FB4">
        <w:rPr>
          <w:color w:val="000000" w:themeColor="text1"/>
        </w:rPr>
        <w:t>The API Gateway boundary allows future integration with national railway information systems or third-party analytics platforms with minimal impact on internal services.</w:t>
      </w:r>
    </w:p>
    <w:p w14:paraId="47595E45" w14:textId="77777777" w:rsidR="00604AC1" w:rsidRPr="00313FB4" w:rsidRDefault="00000000">
      <w:pPr>
        <w:pStyle w:val="ListParagraph"/>
        <w:numPr>
          <w:ilvl w:val="0"/>
          <w:numId w:val="2"/>
        </w:numPr>
        <w:spacing w:after="80" w:line="280" w:lineRule="auto"/>
        <w:rPr>
          <w:color w:val="000000" w:themeColor="text1"/>
        </w:rPr>
      </w:pPr>
      <w:r w:rsidRPr="00313FB4">
        <w:rPr>
          <w:color w:val="000000" w:themeColor="text1"/>
        </w:rPr>
        <w:t>The modular design supports long-term maintainability, as individual services can be re-architected or replaced (e.g., migrating a model to a new ML framework) without affecting the rest of the platform.</w:t>
      </w:r>
    </w:p>
    <w:sectPr w:rsidR="00604AC1" w:rsidRPr="00313FB4">
      <w:headerReference w:type="default" r:id="rId8"/>
      <w:footerReference w:type="default" r:id="rId9"/>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082DA" w14:textId="77777777" w:rsidR="00EF4083" w:rsidRDefault="00EF4083">
      <w:r>
        <w:separator/>
      </w:r>
    </w:p>
  </w:endnote>
  <w:endnote w:type="continuationSeparator" w:id="0">
    <w:p w14:paraId="6ABFED8E" w14:textId="77777777" w:rsidR="00EF4083" w:rsidRDefault="00EF40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626C2" w14:textId="77777777" w:rsidR="00604AC1"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313FB4">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313FB4">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97F2A" w14:textId="77777777" w:rsidR="00EF4083" w:rsidRDefault="00EF4083">
      <w:r>
        <w:separator/>
      </w:r>
    </w:p>
  </w:footnote>
  <w:footnote w:type="continuationSeparator" w:id="0">
    <w:p w14:paraId="7E5D3D5A" w14:textId="77777777" w:rsidR="00EF4083" w:rsidRDefault="00EF40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BA980" w14:textId="77777777" w:rsidR="00604AC1" w:rsidRDefault="00000000">
    <w:pPr>
      <w:jc w:val="right"/>
    </w:pPr>
    <w:r>
      <w:rPr>
        <w:i/>
        <w:iCs/>
        <w:color w:val="808080"/>
        <w:sz w:val="16"/>
        <w:szCs w:val="16"/>
      </w:rPr>
      <w:t>CSA10 – Architecture Design Report | AI-Based Railway Asset Monitoring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1160F7"/>
    <w:multiLevelType w:val="hybridMultilevel"/>
    <w:tmpl w:val="660E7F62"/>
    <w:lvl w:ilvl="0" w:tplc="4E384FC4">
      <w:start w:val="1"/>
      <w:numFmt w:val="bullet"/>
      <w:lvlText w:val="●"/>
      <w:lvlJc w:val="left"/>
      <w:pPr>
        <w:ind w:left="720" w:hanging="360"/>
      </w:pPr>
    </w:lvl>
    <w:lvl w:ilvl="1" w:tplc="736EE45E">
      <w:start w:val="1"/>
      <w:numFmt w:val="bullet"/>
      <w:lvlText w:val="○"/>
      <w:lvlJc w:val="left"/>
      <w:pPr>
        <w:ind w:left="1440" w:hanging="360"/>
      </w:pPr>
    </w:lvl>
    <w:lvl w:ilvl="2" w:tplc="8FDA1BC4">
      <w:start w:val="1"/>
      <w:numFmt w:val="bullet"/>
      <w:lvlText w:val="■"/>
      <w:lvlJc w:val="left"/>
      <w:pPr>
        <w:ind w:left="2160" w:hanging="360"/>
      </w:pPr>
    </w:lvl>
    <w:lvl w:ilvl="3" w:tplc="971C94F4">
      <w:start w:val="1"/>
      <w:numFmt w:val="bullet"/>
      <w:lvlText w:val="●"/>
      <w:lvlJc w:val="left"/>
      <w:pPr>
        <w:ind w:left="2880" w:hanging="360"/>
      </w:pPr>
    </w:lvl>
    <w:lvl w:ilvl="4" w:tplc="EADA29DC">
      <w:start w:val="1"/>
      <w:numFmt w:val="bullet"/>
      <w:lvlText w:val="○"/>
      <w:lvlJc w:val="left"/>
      <w:pPr>
        <w:ind w:left="3600" w:hanging="360"/>
      </w:pPr>
    </w:lvl>
    <w:lvl w:ilvl="5" w:tplc="22D6CD64">
      <w:start w:val="1"/>
      <w:numFmt w:val="bullet"/>
      <w:lvlText w:val="■"/>
      <w:lvlJc w:val="left"/>
      <w:pPr>
        <w:ind w:left="4320" w:hanging="360"/>
      </w:pPr>
    </w:lvl>
    <w:lvl w:ilvl="6" w:tplc="08EC9D58">
      <w:start w:val="1"/>
      <w:numFmt w:val="bullet"/>
      <w:lvlText w:val="●"/>
      <w:lvlJc w:val="left"/>
      <w:pPr>
        <w:ind w:left="5040" w:hanging="360"/>
      </w:pPr>
    </w:lvl>
    <w:lvl w:ilvl="7" w:tplc="9EDE3692">
      <w:start w:val="1"/>
      <w:numFmt w:val="bullet"/>
      <w:lvlText w:val="●"/>
      <w:lvlJc w:val="left"/>
      <w:pPr>
        <w:ind w:left="5760" w:hanging="360"/>
      </w:pPr>
    </w:lvl>
    <w:lvl w:ilvl="8" w:tplc="DEC85A6E">
      <w:start w:val="1"/>
      <w:numFmt w:val="bullet"/>
      <w:lvlText w:val="●"/>
      <w:lvlJc w:val="left"/>
      <w:pPr>
        <w:ind w:left="6480" w:hanging="360"/>
      </w:pPr>
    </w:lvl>
  </w:abstractNum>
  <w:abstractNum w:abstractNumId="1" w15:restartNumberingAfterBreak="0">
    <w:nsid w:val="70F65833"/>
    <w:multiLevelType w:val="hybridMultilevel"/>
    <w:tmpl w:val="C676517A"/>
    <w:lvl w:ilvl="0" w:tplc="4CCC8AF6">
      <w:start w:val="1"/>
      <w:numFmt w:val="bullet"/>
      <w:lvlText w:val="•"/>
      <w:lvlJc w:val="left"/>
      <w:pPr>
        <w:ind w:left="460" w:hanging="260"/>
      </w:pPr>
    </w:lvl>
    <w:lvl w:ilvl="1" w:tplc="90688F5C">
      <w:start w:val="1"/>
      <w:numFmt w:val="bullet"/>
      <w:lvlText w:val="◦"/>
      <w:lvlJc w:val="left"/>
      <w:pPr>
        <w:ind w:left="920" w:hanging="260"/>
      </w:pPr>
    </w:lvl>
    <w:lvl w:ilvl="2" w:tplc="6032D43C">
      <w:numFmt w:val="decimal"/>
      <w:lvlText w:val=""/>
      <w:lvlJc w:val="left"/>
    </w:lvl>
    <w:lvl w:ilvl="3" w:tplc="A36AA57E">
      <w:numFmt w:val="decimal"/>
      <w:lvlText w:val=""/>
      <w:lvlJc w:val="left"/>
    </w:lvl>
    <w:lvl w:ilvl="4" w:tplc="5824E6A8">
      <w:numFmt w:val="decimal"/>
      <w:lvlText w:val=""/>
      <w:lvlJc w:val="left"/>
    </w:lvl>
    <w:lvl w:ilvl="5" w:tplc="40A67818">
      <w:numFmt w:val="decimal"/>
      <w:lvlText w:val=""/>
      <w:lvlJc w:val="left"/>
    </w:lvl>
    <w:lvl w:ilvl="6" w:tplc="9A985F0A">
      <w:numFmt w:val="decimal"/>
      <w:lvlText w:val=""/>
      <w:lvlJc w:val="left"/>
    </w:lvl>
    <w:lvl w:ilvl="7" w:tplc="8990F406">
      <w:numFmt w:val="decimal"/>
      <w:lvlText w:val=""/>
      <w:lvlJc w:val="left"/>
    </w:lvl>
    <w:lvl w:ilvl="8" w:tplc="12E8A206">
      <w:numFmt w:val="decimal"/>
      <w:lvlText w:val=""/>
      <w:lvlJc w:val="left"/>
    </w:lvl>
  </w:abstractNum>
  <w:num w:numId="1" w16cid:durableId="420641323">
    <w:abstractNumId w:val="0"/>
    <w:lvlOverride w:ilvl="0">
      <w:startOverride w:val="1"/>
    </w:lvlOverride>
  </w:num>
  <w:num w:numId="2" w16cid:durableId="20213454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AC1"/>
    <w:rsid w:val="00313FB4"/>
    <w:rsid w:val="00604AC1"/>
    <w:rsid w:val="00C36F3B"/>
    <w:rsid w:val="00EF4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6B9C7"/>
  <w15:docId w15:val="{C3B6FB77-C6FC-44DE-A8FC-13160686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1505</Words>
  <Characters>8585</Characters>
  <Application>Microsoft Office Word</Application>
  <DocSecurity>0</DocSecurity>
  <Lines>71</Lines>
  <Paragraphs>20</Paragraphs>
  <ScaleCrop>false</ScaleCrop>
  <Company/>
  <LinksUpToDate>false</LinksUpToDate>
  <CharactersWithSpaces>10070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Nikhil Kumar Reddy Kadiveti</cp:lastModifiedBy>
  <cp:revision>2</cp:revision>
  <dcterms:created xsi:type="dcterms:W3CDTF">2026-08-06T08:09:00Z</dcterms:created>
  <dcterms:modified xsi:type="dcterms:W3CDTF">2026-08-06T08:30:00Z</dcterms:modified>
</cp:coreProperties>
</file>