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B9B39" w14:textId="77777777" w:rsidR="00E07D37" w:rsidRPr="00C9091D" w:rsidRDefault="00E07D37" w:rsidP="00E07D37">
      <w:pPr>
        <w:pStyle w:val="Header"/>
        <w:rPr>
          <w:b/>
          <w:bCs/>
          <w:sz w:val="36"/>
          <w:szCs w:val="36"/>
        </w:rPr>
      </w:pPr>
      <w:r w:rsidRPr="00C9091D">
        <w:rPr>
          <w:b/>
          <w:bCs/>
          <w:sz w:val="36"/>
          <w:szCs w:val="36"/>
        </w:rPr>
        <w:t>Macroeconomic Factors and Digital Infrastructure Investment in India: A Machine Learning Forecasting Mode</w:t>
      </w:r>
    </w:p>
    <w:p w14:paraId="5DAA6D98" w14:textId="77777777" w:rsidR="00362548" w:rsidRPr="00362548" w:rsidRDefault="00362548" w:rsidP="00362548">
      <w:pPr>
        <w:rPr>
          <w:b/>
          <w:bCs/>
          <w:sz w:val="32"/>
          <w:szCs w:val="32"/>
        </w:rPr>
      </w:pPr>
    </w:p>
    <w:p w14:paraId="4FDAB039" w14:textId="77777777" w:rsidR="00362548" w:rsidRDefault="00362548" w:rsidP="00362548"/>
    <w:p w14:paraId="13A74AE2" w14:textId="77777777" w:rsidR="00362548" w:rsidRPr="00362548" w:rsidRDefault="00362548" w:rsidP="00362548">
      <w:pPr>
        <w:jc w:val="center"/>
        <w:rPr>
          <w:b/>
          <w:bCs/>
          <w:sz w:val="28"/>
          <w:szCs w:val="28"/>
        </w:rPr>
      </w:pPr>
      <w:r w:rsidRPr="00362548">
        <w:rPr>
          <w:b/>
          <w:bCs/>
          <w:sz w:val="28"/>
          <w:szCs w:val="28"/>
        </w:rPr>
        <w:t>ABSTRACT</w:t>
      </w:r>
    </w:p>
    <w:p w14:paraId="13F08138" w14:textId="77777777" w:rsidR="00362548" w:rsidRDefault="00362548" w:rsidP="00362548"/>
    <w:p w14:paraId="0C99EEE7" w14:textId="0A67E9FD" w:rsidR="00362548" w:rsidRDefault="000553EC" w:rsidP="00362548">
      <w:pPr>
        <w:jc w:val="both"/>
      </w:pPr>
      <w:r w:rsidRPr="005279A2">
        <w:rPr>
          <w:rStyle w:val="Strong"/>
          <w:b w:val="0"/>
          <w:bCs w:val="0"/>
        </w:rPr>
        <w:t xml:space="preserve">India's rapid digital transformation-whether in the expansion of broadband, the rollout of 5G, data center growth, and smart city systems-has been strongly conditioned by prevailing macroeconomic conditions. However, empirical research that quantifies how GDP growth, inflation, interest rates, exchange-rate movements, fiscal balance, and FDI inflows influence investment in digital infrastructure remains scant. This work discusses the development of a machine learning framework to predict the growth of digital infrastructure in India based on key macro-economic indicators and policy variables. Using time-series data from the RBI, TRAI, and government programs such as </w:t>
      </w:r>
      <w:proofErr w:type="spellStart"/>
      <w:r w:rsidRPr="005279A2">
        <w:rPr>
          <w:rStyle w:val="Strong"/>
          <w:b w:val="0"/>
          <w:bCs w:val="0"/>
        </w:rPr>
        <w:t>BharatNet</w:t>
      </w:r>
      <w:proofErr w:type="spellEnd"/>
      <w:r w:rsidRPr="005279A2">
        <w:rPr>
          <w:rStyle w:val="Strong"/>
          <w:b w:val="0"/>
          <w:bCs w:val="0"/>
        </w:rPr>
        <w:t xml:space="preserve"> and Smart Cities, we construct predictive models including ARIMAX, </w:t>
      </w:r>
      <w:proofErr w:type="spellStart"/>
      <w:r w:rsidRPr="005279A2">
        <w:rPr>
          <w:rStyle w:val="Strong"/>
          <w:b w:val="0"/>
          <w:bCs w:val="0"/>
        </w:rPr>
        <w:t>XGBoost</w:t>
      </w:r>
      <w:proofErr w:type="spellEnd"/>
      <w:r w:rsidRPr="005279A2">
        <w:rPr>
          <w:rStyle w:val="Strong"/>
          <w:b w:val="0"/>
          <w:bCs w:val="0"/>
        </w:rPr>
        <w:t>, and LSTM to project future broadband penetration, telecom capex, and data center expansion. We conduct scenario analysis illustrating how macro-economic shocks-such as rising inflation or currency volatility-alter investment trajectories. The results clearly indicate that stable GDP growth, moderate interest rates, and strong FDI inflows improve forecast accuracy and positively influence the build-out of connectivity. The proposed system represents both methodological novelty and practical relevance, enabling a data-driven tool for policymakers and industry players that can anticipate infrastructure</w:t>
      </w:r>
      <w:r>
        <w:rPr>
          <w:rStyle w:val="Strong"/>
          <w:b w:val="0"/>
          <w:bCs w:val="0"/>
        </w:rPr>
        <w:t xml:space="preserve"> </w:t>
      </w:r>
      <w:r w:rsidRPr="005279A2">
        <w:rPr>
          <w:rStyle w:val="Strong"/>
          <w:b w:val="0"/>
          <w:bCs w:val="0"/>
        </w:rPr>
        <w:t>needs and design macro-stable digital development strategies</w:t>
      </w:r>
      <w:r w:rsidR="00362548">
        <w:t>.</w:t>
      </w:r>
    </w:p>
    <w:p w14:paraId="086ED82E" w14:textId="77777777" w:rsidR="00362548" w:rsidRDefault="00362548" w:rsidP="00362548">
      <w:pPr>
        <w:jc w:val="both"/>
      </w:pPr>
    </w:p>
    <w:p w14:paraId="1F682266" w14:textId="4BCEB96F" w:rsidR="00362548" w:rsidRDefault="00362548" w:rsidP="00362548">
      <w:pPr>
        <w:jc w:val="both"/>
      </w:pPr>
      <w:r w:rsidRPr="00362548">
        <w:rPr>
          <w:b/>
          <w:bCs/>
        </w:rPr>
        <w:t>Keywords</w:t>
      </w:r>
      <w:r>
        <w:t xml:space="preserve">: </w:t>
      </w:r>
      <w:r w:rsidR="000553EC" w:rsidRPr="00C9091D">
        <w:t xml:space="preserve">Digital infrastructure investment, macroeconomic indicators, machine learning forecasting, ARIMAX, </w:t>
      </w:r>
      <w:proofErr w:type="spellStart"/>
      <w:r w:rsidR="000553EC" w:rsidRPr="00C9091D">
        <w:t>XGBoost</w:t>
      </w:r>
      <w:proofErr w:type="spellEnd"/>
      <w:r w:rsidR="000553EC" w:rsidRPr="00C9091D">
        <w:t xml:space="preserve">, LSTM, scenario analysis, India, broadband penetration, 5G rollout, data center expansion, GDP growth, inflation, interest rates, foreign direct investment, policy variables, TRAI, </w:t>
      </w:r>
      <w:proofErr w:type="spellStart"/>
      <w:r w:rsidR="000553EC" w:rsidRPr="00C9091D">
        <w:t>BharatNet</w:t>
      </w:r>
      <w:proofErr w:type="spellEnd"/>
      <w:r w:rsidR="000553EC" w:rsidRPr="00C9091D">
        <w:t>, Smart Cities Mission.</w:t>
      </w:r>
    </w:p>
    <w:p w14:paraId="30185E38" w14:textId="77777777" w:rsidR="00362548" w:rsidRDefault="00362548" w:rsidP="00362548"/>
    <w:p w14:paraId="78FC53AE" w14:textId="77777777" w:rsidR="00362548" w:rsidRDefault="00362548" w:rsidP="00362548"/>
    <w:p w14:paraId="032335FF" w14:textId="31E35E44" w:rsidR="00362548" w:rsidRPr="00362548" w:rsidRDefault="00362548" w:rsidP="00362548">
      <w:pPr>
        <w:rPr>
          <w:b/>
          <w:bCs/>
          <w:sz w:val="28"/>
          <w:szCs w:val="28"/>
        </w:rPr>
      </w:pPr>
      <w:r w:rsidRPr="00362548">
        <w:rPr>
          <w:b/>
          <w:bCs/>
          <w:sz w:val="28"/>
          <w:szCs w:val="28"/>
        </w:rPr>
        <w:t>1.Introduction</w:t>
      </w:r>
    </w:p>
    <w:p w14:paraId="78DB2DCF" w14:textId="77777777" w:rsidR="00362548" w:rsidRDefault="00362548" w:rsidP="00362548"/>
    <w:p w14:paraId="6DF11198" w14:textId="77777777" w:rsidR="000553EC" w:rsidRPr="003423A5" w:rsidRDefault="000553EC" w:rsidP="000553EC">
      <w:pPr>
        <w:jc w:val="both"/>
      </w:pPr>
      <w:r w:rsidRPr="003423A5">
        <w:t xml:space="preserve">Digital infrastructure is the broadband networks, mobile towers, fiber backbones, 5G systems, cloud facilities, and data centers that have become a bedrock driver of economic progress. In India, rapid digital connectivity, catalyzed by initiatives such as Digital India, </w:t>
      </w:r>
      <w:proofErr w:type="spellStart"/>
      <w:r w:rsidRPr="003423A5">
        <w:t>BharatNet</w:t>
      </w:r>
      <w:proofErr w:type="spellEnd"/>
      <w:r w:rsidRPr="003423A5">
        <w:t>, and the Smart Cities Mission, has rapidly shifted public services, business models, and consumer behavior. At the same time, investment in digital infrastructure depends acutely on macroeconomic conditions. GDP growth, inflation, interest rates, exchange-rate movements, fiscal space, and foreign direct investment directly impact the cost of capital, demand expectations, and investor confidence. For instance, India's recent period of strong GDP growth, low inflation, and steady interest rates has coincided with accelerated telecom capex, 5G rollout, and record inflows into AI-ready data centers.</w:t>
      </w:r>
    </w:p>
    <w:p w14:paraId="543CEBA7" w14:textId="77777777" w:rsidR="000553EC" w:rsidRPr="003423A5" w:rsidRDefault="000553EC" w:rsidP="000553EC">
      <w:pPr>
        <w:jc w:val="both"/>
      </w:pPr>
    </w:p>
    <w:p w14:paraId="40295430" w14:textId="77777777" w:rsidR="000553EC" w:rsidRPr="003423A5" w:rsidRDefault="000553EC" w:rsidP="000553EC">
      <w:pPr>
        <w:jc w:val="both"/>
      </w:pPr>
      <w:r w:rsidRPr="003423A5">
        <w:t>Despite these trends, the academic literature has focused essentially on how digital adoption generates economic growth; the reverse causality-how macroeconomic stability shapes digital infrastructure investment-is rarely discussed. Current research is plagued by fragmented datasets, a lack of standardized metrics for digital investment, and sparse empirical models that actually link macro indicators to connectivity outcomes. This is all the more relevant for India, where policymakers and industries are planning large-scale investments in the areas of fiber networks, spectrum, cloud capacity, and AI infrastructure.</w:t>
      </w:r>
    </w:p>
    <w:p w14:paraId="0C8F8C35" w14:textId="77777777" w:rsidR="000553EC" w:rsidRPr="003423A5" w:rsidRDefault="000553EC" w:rsidP="000553EC">
      <w:pPr>
        <w:jc w:val="both"/>
      </w:pPr>
    </w:p>
    <w:p w14:paraId="7A028DC4" w14:textId="77777777" w:rsidR="000553EC" w:rsidRPr="003423A5" w:rsidRDefault="000553EC" w:rsidP="000553EC">
      <w:pPr>
        <w:jc w:val="both"/>
      </w:pPr>
      <w:r w:rsidRPr="003423A5">
        <w:t xml:space="preserve">In addressing this gap, this study develops a machine-learning-driven framework for projecting India's digital infrastructure expansion based on macroeconomic and policy variables. It integrates official </w:t>
      </w:r>
      <w:r w:rsidRPr="003423A5">
        <w:lastRenderedPageBreak/>
        <w:t xml:space="preserve">macroeconomic series from GDP to inflation, policy rates, exchange rates, fiscal deficit, FDI, and telecom and infrastructure data from TRAI, </w:t>
      </w:r>
      <w:proofErr w:type="spellStart"/>
      <w:r w:rsidRPr="003423A5">
        <w:t>BharatNet</w:t>
      </w:r>
      <w:proofErr w:type="spellEnd"/>
      <w:r w:rsidRPr="003423A5">
        <w:t xml:space="preserve">, and industry reports to quantify and predict how the macro conditions influence connectivity growth. ARIMAX, </w:t>
      </w:r>
      <w:proofErr w:type="spellStart"/>
      <w:r w:rsidRPr="003423A5">
        <w:t>XGBoost</w:t>
      </w:r>
      <w:proofErr w:type="spellEnd"/>
      <w:r w:rsidRPr="003423A5">
        <w:t>, and LSTM are some of the advanced forecasting techniques that have been used to capture both linear trends and nonlinear interactions in the macro-digital ecosystem.</w:t>
      </w:r>
    </w:p>
    <w:p w14:paraId="4F05811A" w14:textId="77777777" w:rsidR="000553EC" w:rsidRPr="003423A5" w:rsidRDefault="000553EC" w:rsidP="000553EC">
      <w:pPr>
        <w:jc w:val="both"/>
      </w:pPr>
    </w:p>
    <w:p w14:paraId="2AE40DBE" w14:textId="2136A7AD" w:rsidR="00362548" w:rsidRDefault="000553EC" w:rsidP="000553EC">
      <w:r w:rsidRPr="003423A5">
        <w:t>The contribution of this research is three-fold: first, developing one of the earliest predictive models which integrates macroeconomic indicators with digital infrastructure metrics in the Indian context; second, it provides empirical evidence on the relative importance of the macro variables in shaping digital investment outcomes; and third, it offers a practical forecasting tool for policymakers, telecom operators, and investors to conduct scenario analysis and design macro-stable strategies for digital infrastructure planning. This study represents both an assessment of how economic conditions shape digital development and a recognition of the growing potential of machine learning in support of forward-looking policy and investment decisions.</w:t>
      </w:r>
    </w:p>
    <w:p w14:paraId="3F10DBFB" w14:textId="77777777" w:rsidR="00362548" w:rsidRDefault="00362548" w:rsidP="00362548"/>
    <w:p w14:paraId="04D411F1" w14:textId="09EFEA86" w:rsidR="00362548" w:rsidRDefault="00362548" w:rsidP="00362548">
      <w:pPr>
        <w:rPr>
          <w:b/>
          <w:bCs/>
          <w:sz w:val="28"/>
          <w:szCs w:val="28"/>
        </w:rPr>
      </w:pPr>
      <w:r w:rsidRPr="00362548">
        <w:rPr>
          <w:b/>
          <w:bCs/>
          <w:sz w:val="28"/>
          <w:szCs w:val="28"/>
        </w:rPr>
        <w:t>2.Literature survey</w:t>
      </w:r>
    </w:p>
    <w:p w14:paraId="363D48AD" w14:textId="77777777" w:rsidR="00362548" w:rsidRPr="00362548" w:rsidRDefault="00362548" w:rsidP="00362548">
      <w:pPr>
        <w:rPr>
          <w:b/>
          <w:bCs/>
          <w:sz w:val="28"/>
          <w:szCs w:val="28"/>
        </w:rPr>
      </w:pPr>
    </w:p>
    <w:p w14:paraId="56C0F14A" w14:textId="77777777" w:rsidR="00362548" w:rsidRDefault="00362548" w:rsidP="00362548">
      <w:pPr>
        <w:jc w:val="both"/>
      </w:pPr>
      <w:r>
        <w:t xml:space="preserve">Clear responsibility allocation and well-defined workflows are fundamental to ensuring quality and efficiency in software development processes. The study by </w:t>
      </w:r>
      <w:proofErr w:type="spellStart"/>
      <w:r>
        <w:t>Indrawati</w:t>
      </w:r>
      <w:proofErr w:type="spellEnd"/>
      <w:r>
        <w:t xml:space="preserve"> et al. presents one of the foundational approaches in this domain by proposing a Responsibility and Accountability Matrix tailored for software lifecycle activities [1]. Their work underscores how the absence of explicit role definitions leads to inconsistencies, delays, and uneven task distribution during development. Through a systematic mapping of lifecycle steps to responsible entities, the authors demonstrate how structured responsibility frameworks such as RACI can reduce ambiguity. However, their model remains largely static and documentation-oriented. It does not support real-time coordination, workflow visualization, or automated tracking, thus limiting its applicability in dynamic, fast-paced environments. This shortcoming highlights the need for a more integrated solution that ties responsibility assignment to executable workflows, which our proposed system directly addresses.</w:t>
      </w:r>
    </w:p>
    <w:p w14:paraId="42F57A33" w14:textId="77777777" w:rsidR="00362548" w:rsidRDefault="00362548" w:rsidP="00362548">
      <w:pPr>
        <w:jc w:val="both"/>
      </w:pPr>
    </w:p>
    <w:p w14:paraId="5E5DD9F5" w14:textId="77777777" w:rsidR="00362548" w:rsidRDefault="00362548" w:rsidP="00362548">
      <w:pPr>
        <w:jc w:val="both"/>
      </w:pPr>
      <w:r>
        <w:t>Complementing the need for clear responsibility structures, the second study focuses on challenges specific to startup environments—contexts where processes are evolving, roles frequently overlap, and rapid iteration is the norm [2]. The authors propose a Scrum-based framework to bring order to the early stages of product development. While Scrum provides defined roles and ceremonies, the study points out that startups often struggle with blurred boundaries between team members, resulting in misaligned expectations and coordination issues. Notably, the framework does not include a mechanism for systematically capturing or enforcing RACI-style relationships. This gap suggests that even agile methodologies would benefit from an added layer of responsibility governance that makes role ownership explicit and trackable. Such integration can significantly strengthen communication and accountability in startup teams.</w:t>
      </w:r>
    </w:p>
    <w:p w14:paraId="517F6744" w14:textId="77777777" w:rsidR="00362548" w:rsidRDefault="00362548" w:rsidP="00362548">
      <w:pPr>
        <w:jc w:val="both"/>
      </w:pPr>
    </w:p>
    <w:p w14:paraId="1FA97EB0" w14:textId="77777777" w:rsidR="00362548" w:rsidRDefault="00362548" w:rsidP="00362548">
      <w:pPr>
        <w:jc w:val="both"/>
      </w:pPr>
      <w:r>
        <w:t>The third paper examines how data-driven models can support better strategic decision-making in startups, comparing machine learning algorithms under cross-validation to determine which are most suitable for operational forecasting [3]. The study demonstrates that ML-based approaches often outperform traditional, intuition-driven decision-making methods, offering improved accuracy for managerial planning. Although the research does not directly address workflow responsibilities, it shows the potential benefits of embedding predictive insights into operational tools. For example, a responsibility management system could incorporate similar analytic techniques to suggest suitable Responsible or Accountable individuals based on prior assignments or performance indicators. Yet, this paper does not explore workflow modeling or responsibility frameworks, creating another opening for systems that combine analytics with structured responsibility management.</w:t>
      </w:r>
    </w:p>
    <w:p w14:paraId="446DD764" w14:textId="77777777" w:rsidR="00362548" w:rsidRDefault="00362548" w:rsidP="00362548">
      <w:pPr>
        <w:jc w:val="both"/>
      </w:pPr>
    </w:p>
    <w:p w14:paraId="44ECECAC" w14:textId="77777777" w:rsidR="00362548" w:rsidRDefault="00362548" w:rsidP="00362548">
      <w:pPr>
        <w:jc w:val="both"/>
      </w:pPr>
      <w:r>
        <w:t xml:space="preserve">A more responsibility-oriented perspective is provided in the fourth paper, which presents a template-driven technique for managing responsibilities within executable business processes [4]. Here, the authors propose reusable responsibility templates that can be integrated into process models, ensuring </w:t>
      </w:r>
      <w:r>
        <w:lastRenderedPageBreak/>
        <w:t>that correct role associations are preserved as workflows are executed. Their approach offers a strong formal foundation for responsibility enforcement in BPM systems. Nevertheless, its enterprise-centric design and reliance on technical modeling constructs limit accessibility for teams seeking flexible, user-friendly tools. Furthermore, the technique lacks visual workflow interaction, real-time editing, and support for approval cycles. These limitations indicate the continued need for approachable, intuitive responsibility tools that serve a wider range of organizational contexts.</w:t>
      </w:r>
    </w:p>
    <w:p w14:paraId="5040580D" w14:textId="77777777" w:rsidR="00362548" w:rsidRDefault="00362548" w:rsidP="00362548">
      <w:pPr>
        <w:jc w:val="both"/>
      </w:pPr>
    </w:p>
    <w:p w14:paraId="4F7ED532" w14:textId="77777777" w:rsidR="00362548" w:rsidRDefault="00362548" w:rsidP="00362548">
      <w:pPr>
        <w:jc w:val="both"/>
      </w:pPr>
      <w:r>
        <w:t>The fifth study explores workflow modeling through a BPMN-based approach tailored for complex Big Bio Data processes [5]. The authors highlight how BPMN diagrams effectively capture dependencies, parallelization, and sequential steps in intricate workflows. Their analysis confirms that graphical representations significantly improve communication, reduce coordination errors, and facilitate clearer understanding of process flows. Despite this strength, the paper focuses strictly on workflow structure and does not integrate responsibility definitions or RACI mapping into BPMN nodes. This separation between process modeling and responsibility assignment is a recurring theme in the literature and reinforces the need for a unified platform that merges both aspects.</w:t>
      </w:r>
    </w:p>
    <w:p w14:paraId="4FC5BD46" w14:textId="77777777" w:rsidR="00362548" w:rsidRDefault="00362548" w:rsidP="00362548">
      <w:pPr>
        <w:jc w:val="both"/>
      </w:pPr>
    </w:p>
    <w:p w14:paraId="6FFB05A9" w14:textId="77777777" w:rsidR="00362548" w:rsidRDefault="00362548" w:rsidP="00362548">
      <w:pPr>
        <w:jc w:val="both"/>
      </w:pPr>
      <w:r>
        <w:t>The final paper introduces an automated mechanism for resource assignment in BPMN models using RACI matrices [6]. This work is particularly relevant because it demonstrates how responsibility models can be computationally integrated into workflow diagrams. The authors detail algorithms for matching BPMN tasks with appropriate resources based on predefined RACI rules, thereby reducing manual assignment errors and promoting consistency. Despite its usefulness, the approach is technically complex and geared toward formal BPM suites. It lacks features such as real-time collaboration, user-friendly interfaces, or support for approval routing—all of which are vital for modern SaaS collaboration tools. Moreover, the absence of traceability functions, such as activity logs or audit trails, indicates that responsibility automation alone is insufficient without broader workflow governance features.</w:t>
      </w:r>
    </w:p>
    <w:p w14:paraId="0C151F6E" w14:textId="77777777" w:rsidR="00362548" w:rsidRDefault="00362548" w:rsidP="00362548"/>
    <w:p w14:paraId="708747D1" w14:textId="77777777" w:rsidR="00AC1C10" w:rsidRDefault="00AC1C10"/>
    <w:p w14:paraId="467C20E2" w14:textId="5EAE9BD1" w:rsidR="00362548" w:rsidRPr="00362548" w:rsidRDefault="00362548">
      <w:pPr>
        <w:rPr>
          <w:b/>
          <w:bCs/>
          <w:sz w:val="32"/>
          <w:szCs w:val="32"/>
        </w:rPr>
      </w:pPr>
      <w:r w:rsidRPr="00362548">
        <w:rPr>
          <w:b/>
          <w:bCs/>
          <w:sz w:val="32"/>
          <w:szCs w:val="32"/>
        </w:rPr>
        <w:t>3. Methodology</w:t>
      </w:r>
    </w:p>
    <w:p w14:paraId="701E0058" w14:textId="77777777" w:rsidR="00362548" w:rsidRDefault="00362548"/>
    <w:p w14:paraId="683076E8" w14:textId="77777777" w:rsidR="0074681A" w:rsidRPr="0074681A" w:rsidRDefault="0074681A" w:rsidP="0074681A">
      <w:pPr>
        <w:jc w:val="both"/>
        <w:rPr>
          <w:b/>
          <w:bCs/>
        </w:rPr>
      </w:pPr>
      <w:r w:rsidRPr="0074681A">
        <w:rPr>
          <w:b/>
          <w:bCs/>
        </w:rPr>
        <w:t>3. Methodology</w:t>
      </w:r>
    </w:p>
    <w:p w14:paraId="264E844A" w14:textId="77777777" w:rsidR="0074681A" w:rsidRPr="0074681A" w:rsidRDefault="0074681A" w:rsidP="0074681A">
      <w:pPr>
        <w:jc w:val="both"/>
        <w:rPr>
          <w:b/>
          <w:bCs/>
        </w:rPr>
      </w:pPr>
      <w:r w:rsidRPr="0074681A">
        <w:rPr>
          <w:b/>
          <w:bCs/>
        </w:rPr>
        <w:t>Data Collection and Sources</w:t>
      </w:r>
    </w:p>
    <w:p w14:paraId="2D35D4D7" w14:textId="77777777" w:rsidR="0074681A" w:rsidRPr="0074681A" w:rsidRDefault="0074681A" w:rsidP="0074681A">
      <w:pPr>
        <w:jc w:val="both"/>
      </w:pPr>
      <w:r w:rsidRPr="0074681A">
        <w:t xml:space="preserve">It combines publicly available time-series data from the most authoritative sources to construct indicators for both macroeconomic and digital infrastructure domains. Macroeconomic quarterly and monthly data have been sourced on GDP growth, CPI inflation, policy rates, repo rate, exchange rates, fiscal deficit as a percentage of GDP, and FDI inflows from RBI, World Bank, and the Ministry of Finance, Government of India. Digital infrastructure metrics have been gathered on broadband subscribers, tower installations, data-center capacity, and 5G rollout milestones from TRAI, reports on government programs such as </w:t>
      </w:r>
      <w:proofErr w:type="spellStart"/>
      <w:r w:rsidRPr="0074681A">
        <w:t>BharatNet</w:t>
      </w:r>
      <w:proofErr w:type="spellEnd"/>
      <w:r w:rsidRPr="0074681A">
        <w:t xml:space="preserve"> and the Smart Cities Mission, and industry trackers like GSMA and data-center maps.</w:t>
      </w:r>
    </w:p>
    <w:p w14:paraId="0532FA4D" w14:textId="77777777" w:rsidR="0074681A" w:rsidRPr="0074681A" w:rsidRDefault="0074681A" w:rsidP="0074681A">
      <w:pPr>
        <w:jc w:val="both"/>
        <w:rPr>
          <w:b/>
          <w:bCs/>
        </w:rPr>
      </w:pPr>
      <w:r w:rsidRPr="0074681A">
        <w:rPr>
          <w:b/>
          <w:bCs/>
        </w:rPr>
        <w:t>Data Preprocessing and Integration</w:t>
      </w:r>
    </w:p>
    <w:p w14:paraId="0FB9064F" w14:textId="77777777" w:rsidR="0074681A" w:rsidRPr="0074681A" w:rsidRDefault="0074681A" w:rsidP="0074681A">
      <w:pPr>
        <w:jc w:val="both"/>
      </w:pPr>
      <w:r w:rsidRPr="0074681A">
        <w:t>The raw data are cleaned, normalized, and aligned by converting quarterly macroeconomic series to monthly frequency using linear interpolation where necessary. The missing values are imputed or excluded depending on the data available. Digital infrastructure data are aggregated to match the temporal resolution of macroeconomic variables, making sure that alignment is consistent for modeling.</w:t>
      </w:r>
    </w:p>
    <w:p w14:paraId="4833D03A" w14:textId="77777777" w:rsidR="0074681A" w:rsidRPr="0074681A" w:rsidRDefault="0074681A" w:rsidP="0074681A">
      <w:pPr>
        <w:jc w:val="both"/>
        <w:rPr>
          <w:b/>
          <w:bCs/>
        </w:rPr>
      </w:pPr>
      <w:r w:rsidRPr="0074681A">
        <w:rPr>
          <w:b/>
          <w:bCs/>
        </w:rPr>
        <w:t>Feature Engineering</w:t>
      </w:r>
    </w:p>
    <w:p w14:paraId="06C81E82" w14:textId="77777777" w:rsidR="0074681A" w:rsidRPr="0074681A" w:rsidRDefault="0074681A" w:rsidP="0074681A">
      <w:pPr>
        <w:jc w:val="both"/>
      </w:pPr>
      <w:r w:rsidRPr="0074681A">
        <w:t>Lagged values are generated in order to detect temporal dependencies of the different macroeconomic variables, such as GDP growth during previous quarters. Event-based dummy variables were created to represent large policy changes, including but not limited to spectrum auctions and budget announcements. Optional proxy indicators, which include but are not limited to Google mobility trends and satellite-derived night-lights data, are included to augment the feature set.</w:t>
      </w:r>
    </w:p>
    <w:p w14:paraId="4647281C" w14:textId="77777777" w:rsidR="0074681A" w:rsidRPr="0074681A" w:rsidRDefault="0074681A" w:rsidP="0074681A">
      <w:pPr>
        <w:jc w:val="both"/>
        <w:rPr>
          <w:b/>
          <w:bCs/>
        </w:rPr>
      </w:pPr>
      <w:r w:rsidRPr="0074681A">
        <w:rPr>
          <w:b/>
          <w:bCs/>
        </w:rPr>
        <w:t>Model Selection and Development</w:t>
      </w:r>
    </w:p>
    <w:p w14:paraId="32DA8D91" w14:textId="77777777" w:rsidR="0074681A" w:rsidRPr="0074681A" w:rsidRDefault="0074681A" w:rsidP="0074681A">
      <w:pPr>
        <w:jc w:val="both"/>
      </w:pPr>
      <w:r w:rsidRPr="0074681A">
        <w:t>Various machine learning and time-series forecasting models are developed and compared:</w:t>
      </w:r>
    </w:p>
    <w:p w14:paraId="0575D3E3" w14:textId="77777777" w:rsidR="0074681A" w:rsidRPr="0074681A" w:rsidRDefault="0074681A" w:rsidP="0074681A">
      <w:pPr>
        <w:numPr>
          <w:ilvl w:val="0"/>
          <w:numId w:val="2"/>
        </w:numPr>
        <w:jc w:val="both"/>
      </w:pPr>
      <w:r w:rsidRPr="0074681A">
        <w:rPr>
          <w:b/>
          <w:bCs/>
        </w:rPr>
        <w:t>ARIMAX:</w:t>
      </w:r>
      <w:r w:rsidRPr="0074681A">
        <w:t xml:space="preserve"> Modelling linear relationships and incorporating exogenous macroeconomic </w:t>
      </w:r>
      <w:r w:rsidRPr="0074681A">
        <w:lastRenderedPageBreak/>
        <w:t>regressors.</w:t>
      </w:r>
    </w:p>
    <w:p w14:paraId="144E67A3" w14:textId="77777777" w:rsidR="0074681A" w:rsidRPr="0074681A" w:rsidRDefault="0074681A" w:rsidP="0074681A">
      <w:pPr>
        <w:numPr>
          <w:ilvl w:val="0"/>
          <w:numId w:val="2"/>
        </w:numPr>
        <w:jc w:val="both"/>
      </w:pPr>
      <w:r w:rsidRPr="0074681A">
        <w:rPr>
          <w:b/>
          <w:bCs/>
        </w:rPr>
        <w:t>Long Short-Term Memory (LSTM):</w:t>
      </w:r>
      <w:r w:rsidRPr="0074681A">
        <w:t xml:space="preserve"> A deep learning architecture suitable for complex, nonlinear time-series patterns.</w:t>
      </w:r>
    </w:p>
    <w:p w14:paraId="1EEA8639" w14:textId="77777777" w:rsidR="0074681A" w:rsidRPr="0074681A" w:rsidRDefault="0074681A" w:rsidP="0074681A">
      <w:pPr>
        <w:numPr>
          <w:ilvl w:val="0"/>
          <w:numId w:val="2"/>
        </w:numPr>
        <w:jc w:val="both"/>
      </w:pPr>
      <w:r w:rsidRPr="0074681A">
        <w:rPr>
          <w:b/>
          <w:bCs/>
        </w:rPr>
        <w:t>Gradient-Boosted Trees (</w:t>
      </w:r>
      <w:proofErr w:type="spellStart"/>
      <w:r w:rsidRPr="0074681A">
        <w:rPr>
          <w:b/>
          <w:bCs/>
        </w:rPr>
        <w:t>XGBoost</w:t>
      </w:r>
      <w:proofErr w:type="spellEnd"/>
      <w:r w:rsidRPr="0074681A">
        <w:rPr>
          <w:b/>
          <w:bCs/>
        </w:rPr>
        <w:t xml:space="preserve">, </w:t>
      </w:r>
      <w:proofErr w:type="spellStart"/>
      <w:r w:rsidRPr="0074681A">
        <w:rPr>
          <w:b/>
          <w:bCs/>
        </w:rPr>
        <w:t>LightGBM</w:t>
      </w:r>
      <w:proofErr w:type="spellEnd"/>
      <w:r w:rsidRPr="0074681A">
        <w:rPr>
          <w:b/>
          <w:bCs/>
        </w:rPr>
        <w:t>):</w:t>
      </w:r>
      <w:r w:rsidRPr="0074681A">
        <w:t xml:space="preserve"> handling of nonlinear effects and feature importance quantification.</w:t>
      </w:r>
    </w:p>
    <w:p w14:paraId="262C006A" w14:textId="77777777" w:rsidR="0074681A" w:rsidRPr="0074681A" w:rsidRDefault="0074681A" w:rsidP="0074681A">
      <w:pPr>
        <w:jc w:val="both"/>
      </w:pPr>
      <w:r w:rsidRPr="0074681A">
        <w:t>The models are trained on data from 2010 to 2025, with their hyperparameters tuned via either cross-validation or time-split evaluation to prevent overfitting. Model performance is evaluated based on the RMSE and MAPE of the out-of-sample forecast.</w:t>
      </w:r>
    </w:p>
    <w:p w14:paraId="0118B5D5" w14:textId="77777777" w:rsidR="0074681A" w:rsidRPr="0074681A" w:rsidRDefault="0074681A" w:rsidP="0074681A">
      <w:pPr>
        <w:jc w:val="both"/>
      </w:pPr>
      <w:r w:rsidRPr="0074681A">
        <w:t>Scenario and Risk Analysis</w:t>
      </w:r>
    </w:p>
    <w:p w14:paraId="2C045F42" w14:textId="77777777" w:rsidR="0074681A" w:rsidRPr="0074681A" w:rsidRDefault="0074681A" w:rsidP="0074681A">
      <w:pPr>
        <w:jc w:val="both"/>
      </w:pPr>
      <w:r w:rsidRPr="0074681A">
        <w:t>The best-performing model uses simulation to project future digital infrastructure growth under various macroeconomic scenarios, such as high inflation, interest rate hikes, and fiscal stress. The model also classifies periods and states into investment risk categories based on predefined macroeconomic thresholds.</w:t>
      </w:r>
    </w:p>
    <w:p w14:paraId="3EC72744" w14:textId="77777777" w:rsidR="0074681A" w:rsidRPr="0074681A" w:rsidRDefault="0074681A" w:rsidP="0074681A">
      <w:pPr>
        <w:jc w:val="both"/>
        <w:rPr>
          <w:b/>
          <w:bCs/>
        </w:rPr>
      </w:pPr>
      <w:r w:rsidRPr="0074681A">
        <w:rPr>
          <w:b/>
          <w:bCs/>
        </w:rPr>
        <w:t>Model Validation and Deployment</w:t>
      </w:r>
    </w:p>
    <w:p w14:paraId="793A3B32" w14:textId="77777777" w:rsidR="0074681A" w:rsidRPr="0074681A" w:rsidRDefault="0074681A" w:rsidP="0074681A">
      <w:pPr>
        <w:jc w:val="both"/>
      </w:pPr>
      <w:r w:rsidRPr="0074681A">
        <w:t xml:space="preserve">Forecasts from the models are checked against historical benchmarks, and there is </w:t>
      </w:r>
      <w:proofErr w:type="spellStart"/>
      <w:r w:rsidRPr="0074681A">
        <w:t>backtesting</w:t>
      </w:r>
      <w:proofErr w:type="spellEnd"/>
      <w:r w:rsidRPr="0074681A">
        <w:t xml:space="preserve"> to gauge the accuracy for 2018–2025 on broadband penetration, tower count, and data-center expansion. The finalized model is packaged within an online dashboard for policymakers and investors, where it will offer scenario-based forecasts and risk assessments.</w:t>
      </w:r>
    </w:p>
    <w:p w14:paraId="49FDED71" w14:textId="77777777" w:rsidR="0074681A" w:rsidRPr="0074681A" w:rsidRDefault="0074681A" w:rsidP="0074681A">
      <w:pPr>
        <w:jc w:val="both"/>
        <w:rPr>
          <w:b/>
          <w:bCs/>
        </w:rPr>
      </w:pPr>
      <w:r w:rsidRPr="0074681A">
        <w:rPr>
          <w:b/>
          <w:bCs/>
        </w:rPr>
        <w:t>Comparative Analysis</w:t>
      </w:r>
    </w:p>
    <w:p w14:paraId="2D8AE0B1" w14:textId="77777777" w:rsidR="0074681A" w:rsidRPr="0074681A" w:rsidRDefault="0074681A" w:rsidP="0074681A">
      <w:pPr>
        <w:jc w:val="both"/>
      </w:pPr>
      <w:r w:rsidRPr="0074681A">
        <w:t xml:space="preserve">The forecasting performance of the ML models is compared to that from simpler econometric benchmarks, like </w:t>
      </w:r>
      <w:r w:rsidRPr="0074681A">
        <w:rPr>
          <w:b/>
          <w:bCs/>
        </w:rPr>
        <w:t>VAR (Vector Autoregression)</w:t>
      </w:r>
      <w:r w:rsidRPr="0074681A">
        <w:t>, in order to highlight the added value of machine learning in capturing complex interactions between macroeconomic and digital infrastructure variables. This approach yields a systematic and reproducible method for linking digital infrastructure investments with macroeconomic indicators—one that would support both an academic contribution while simultaneously conveying practical relevance to policymakers and investors alike.</w:t>
      </w:r>
    </w:p>
    <w:p w14:paraId="75ED3E7A" w14:textId="75275DFF" w:rsidR="00362548" w:rsidRDefault="00362548" w:rsidP="00362548">
      <w:pPr>
        <w:jc w:val="both"/>
      </w:pPr>
    </w:p>
    <w:p w14:paraId="4523BE75" w14:textId="77777777" w:rsidR="00362548" w:rsidRDefault="00362548" w:rsidP="00362548">
      <w:pPr>
        <w:jc w:val="both"/>
      </w:pPr>
    </w:p>
    <w:p w14:paraId="663C672E" w14:textId="3A3ECE79" w:rsidR="00362548" w:rsidRDefault="00362548" w:rsidP="00362548">
      <w:pPr>
        <w:jc w:val="both"/>
      </w:pPr>
    </w:p>
    <w:p w14:paraId="2BC8F1E2" w14:textId="77777777" w:rsidR="00815C46" w:rsidRDefault="00815C46" w:rsidP="00362548">
      <w:pPr>
        <w:jc w:val="both"/>
      </w:pPr>
    </w:p>
    <w:p w14:paraId="723C97C8" w14:textId="77777777" w:rsidR="00815C46" w:rsidRDefault="00815C46" w:rsidP="00362548">
      <w:pPr>
        <w:jc w:val="both"/>
      </w:pPr>
    </w:p>
    <w:p w14:paraId="710C0C37" w14:textId="6D60CE86" w:rsidR="00815C46" w:rsidRPr="00815C46" w:rsidRDefault="00815C46" w:rsidP="00362548">
      <w:pPr>
        <w:jc w:val="both"/>
        <w:rPr>
          <w:b/>
          <w:bCs/>
          <w:sz w:val="28"/>
          <w:szCs w:val="28"/>
        </w:rPr>
      </w:pPr>
      <w:r w:rsidRPr="00815C46">
        <w:rPr>
          <w:b/>
          <w:bCs/>
          <w:sz w:val="28"/>
          <w:szCs w:val="28"/>
        </w:rPr>
        <w:t>References</w:t>
      </w:r>
    </w:p>
    <w:p w14:paraId="65D624CD" w14:textId="77777777" w:rsidR="00815C46" w:rsidRDefault="00815C46" w:rsidP="00362548">
      <w:pPr>
        <w:jc w:val="both"/>
      </w:pPr>
    </w:p>
    <w:p w14:paraId="48B44A1C" w14:textId="4CA9ACE4" w:rsidR="00815C46" w:rsidRDefault="00815C46" w:rsidP="00815C46">
      <w:pPr>
        <w:jc w:val="both"/>
      </w:pPr>
      <w:r>
        <w:t xml:space="preserve">[1] N. </w:t>
      </w:r>
      <w:proofErr w:type="spellStart"/>
      <w:r>
        <w:t>Indrawati</w:t>
      </w:r>
      <w:proofErr w:type="spellEnd"/>
      <w:r>
        <w:t xml:space="preserve">, D. </w:t>
      </w:r>
      <w:proofErr w:type="spellStart"/>
      <w:r>
        <w:t>Hernikawati</w:t>
      </w:r>
      <w:proofErr w:type="spellEnd"/>
      <w:r>
        <w:t>, and Y. A. A. Sukma, “Responsibility and Accountability Matrix of Software Lifecycle Process,” in Proc. Int. Conf. Data Science, Artificial Intelligence, and Business Analytics (DATABIA), 2021.</w:t>
      </w:r>
    </w:p>
    <w:p w14:paraId="478BFE32" w14:textId="77777777" w:rsidR="00815C46" w:rsidRDefault="00815C46" w:rsidP="00815C46">
      <w:pPr>
        <w:jc w:val="both"/>
      </w:pPr>
    </w:p>
    <w:p w14:paraId="77EA8BD9" w14:textId="3C70D8B2" w:rsidR="00815C46" w:rsidRDefault="00815C46" w:rsidP="00815C46">
      <w:pPr>
        <w:jc w:val="both"/>
      </w:pPr>
      <w:r>
        <w:t xml:space="preserve">[2] I. Mukhlis and A. A. </w:t>
      </w:r>
      <w:proofErr w:type="gramStart"/>
      <w:r>
        <w:t>Fauzi,  “</w:t>
      </w:r>
      <w:proofErr w:type="gramEnd"/>
      <w:r>
        <w:t xml:space="preserve">Startup Framework Based on Scrum Framework,” International    Journal of Scientific &amp; Technology </w:t>
      </w:r>
      <w:proofErr w:type="gramStart"/>
      <w:r>
        <w:t>Research,  vol.</w:t>
      </w:r>
      <w:proofErr w:type="gramEnd"/>
      <w:r>
        <w:t xml:space="preserve"> 9, no. 3, pp. 1491–1496, 2020.</w:t>
      </w:r>
    </w:p>
    <w:p w14:paraId="7C040335" w14:textId="77777777" w:rsidR="00815C46" w:rsidRDefault="00815C46" w:rsidP="00815C46">
      <w:pPr>
        <w:jc w:val="both"/>
      </w:pPr>
    </w:p>
    <w:p w14:paraId="003861E2" w14:textId="4FCA2A28" w:rsidR="00815C46" w:rsidRDefault="00815C46" w:rsidP="00815C46">
      <w:pPr>
        <w:jc w:val="both"/>
      </w:pPr>
      <w:r>
        <w:t xml:space="preserve">[3] A. </w:t>
      </w:r>
      <w:proofErr w:type="spellStart"/>
      <w:r>
        <w:t>Ghoushchi</w:t>
      </w:r>
      <w:proofErr w:type="spellEnd"/>
      <w:r>
        <w:t xml:space="preserve">, M. A. Tohidi, and S. M. </w:t>
      </w:r>
      <w:proofErr w:type="gramStart"/>
      <w:r>
        <w:t>Mousavi,  “</w:t>
      </w:r>
      <w:proofErr w:type="gramEnd"/>
      <w:r>
        <w:t>A Cross-Validated Comparative Analysis of Machine Learning Models for Strategic Decision-Making in Software Startups,” International Journal of Advanced Computer Science and Applications, vol. 12, no. 5, pp. 210–219, 2021.</w:t>
      </w:r>
    </w:p>
    <w:p w14:paraId="0E0FBD93" w14:textId="77777777" w:rsidR="00815C46" w:rsidRDefault="00815C46" w:rsidP="00815C46">
      <w:pPr>
        <w:jc w:val="both"/>
      </w:pPr>
    </w:p>
    <w:p w14:paraId="24A2903F" w14:textId="5407952C" w:rsidR="00815C46" w:rsidRDefault="00815C46" w:rsidP="00815C46">
      <w:pPr>
        <w:jc w:val="both"/>
      </w:pPr>
      <w:r>
        <w:t xml:space="preserve">[4] M. </w:t>
      </w:r>
      <w:proofErr w:type="spellStart"/>
      <w:r>
        <w:t>Kherwa</w:t>
      </w:r>
      <w:proofErr w:type="spellEnd"/>
      <w:r>
        <w:t xml:space="preserve"> and H. Purohit, “A Template-Based Approach for Responsibility Management in Executable Business Processes,” International Journal of Innovative Research in Computer and Communication Engineering, vol. 7, no. 4, 2019.</w:t>
      </w:r>
    </w:p>
    <w:p w14:paraId="0B8494F6" w14:textId="77777777" w:rsidR="00815C46" w:rsidRDefault="00815C46" w:rsidP="00815C46">
      <w:pPr>
        <w:jc w:val="both"/>
      </w:pPr>
    </w:p>
    <w:p w14:paraId="69FF719E" w14:textId="40280F14" w:rsidR="00815C46" w:rsidRDefault="00815C46" w:rsidP="00815C46">
      <w:pPr>
        <w:jc w:val="both"/>
      </w:pPr>
      <w:r>
        <w:t xml:space="preserve">[5] N. Stojanović, M. </w:t>
      </w:r>
      <w:proofErr w:type="spellStart"/>
      <w:r>
        <w:t>Cizelj</w:t>
      </w:r>
      <w:proofErr w:type="spellEnd"/>
      <w:r>
        <w:t>, and S. Škrbić, “A BPMN-Based Approach for Modeling Complex Workflows in Big Bio Data Systems</w:t>
      </w:r>
      <w:proofErr w:type="gramStart"/>
      <w:r>
        <w:t>,”  in</w:t>
      </w:r>
      <w:proofErr w:type="gramEnd"/>
      <w:r>
        <w:t xml:space="preserve"> Proc. Int. Conf. Bioinformatics and Computational Biology, pp. 45–52, 2018.</w:t>
      </w:r>
    </w:p>
    <w:p w14:paraId="07B6AF24" w14:textId="77777777" w:rsidR="00815C46" w:rsidRDefault="00815C46" w:rsidP="00815C46">
      <w:pPr>
        <w:jc w:val="both"/>
      </w:pPr>
    </w:p>
    <w:p w14:paraId="5E265C03" w14:textId="23A6563B" w:rsidR="00815C46" w:rsidRDefault="00815C46" w:rsidP="00815C46">
      <w:pPr>
        <w:jc w:val="both"/>
      </w:pPr>
      <w:r>
        <w:t xml:space="preserve">[6] G. F. Alves, L. Barros, and M. F. da Silva, “Automated Resource Assignment in BPMN Models Using RACI Matrices,” Business Process Management </w:t>
      </w:r>
      <w:proofErr w:type="gramStart"/>
      <w:r>
        <w:t>Journal,  vol.</w:t>
      </w:r>
      <w:proofErr w:type="gramEnd"/>
      <w:r>
        <w:t xml:space="preserve"> 26, no. 3, pp. 735–752, 2020.</w:t>
      </w:r>
    </w:p>
    <w:sectPr w:rsidR="00815C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56889"/>
    <w:multiLevelType w:val="multilevel"/>
    <w:tmpl w:val="1D4682E4"/>
    <w:lvl w:ilvl="0">
      <w:start w:val="1"/>
      <w:numFmt w:val="decimal"/>
      <w:lvlText w:val="%1."/>
      <w:lvlJc w:val="left"/>
      <w:pPr>
        <w:ind w:left="450" w:hanging="450"/>
      </w:pPr>
      <w:rPr>
        <w:rFonts w:ascii="Times New Roman" w:eastAsia="Times New Roman" w:hAnsi="Times New Roman" w:cs="Times New Roman" w:hint="default"/>
        <w:b/>
        <w:bCs/>
        <w:i w:val="0"/>
        <w:iCs w:val="0"/>
        <w:spacing w:val="0"/>
        <w:w w:val="100"/>
        <w:sz w:val="40"/>
        <w:szCs w:val="40"/>
        <w:lang w:val="en-US" w:eastAsia="en-US" w:bidi="ar-SA"/>
      </w:rPr>
    </w:lvl>
    <w:lvl w:ilvl="1">
      <w:start w:val="1"/>
      <w:numFmt w:val="decimal"/>
      <w:lvlText w:val="%1.%2."/>
      <w:lvlJc w:val="left"/>
      <w:pPr>
        <w:ind w:left="421" w:hanging="420"/>
      </w:pPr>
      <w:rPr>
        <w:rFonts w:ascii="Times New Roman" w:eastAsia="Times New Roman" w:hAnsi="Times New Roman" w:cs="Times New Roman" w:hint="default"/>
        <w:b/>
        <w:bCs/>
        <w:i/>
        <w:iCs/>
        <w:spacing w:val="0"/>
        <w:w w:val="100"/>
        <w:sz w:val="24"/>
        <w:szCs w:val="24"/>
        <w:lang w:val="en-US" w:eastAsia="en-US" w:bidi="ar-SA"/>
      </w:rPr>
    </w:lvl>
    <w:lvl w:ilvl="2">
      <w:start w:val="1"/>
      <w:numFmt w:val="decimal"/>
      <w:lvlText w:val="%1.%2.%3."/>
      <w:lvlJc w:val="left"/>
      <w:pPr>
        <w:ind w:left="601" w:hanging="600"/>
      </w:pPr>
      <w:rPr>
        <w:rFonts w:ascii="Times New Roman" w:eastAsia="Times New Roman" w:hAnsi="Times New Roman" w:cs="Times New Roman" w:hint="default"/>
        <w:b w:val="0"/>
        <w:bCs w:val="0"/>
        <w:i/>
        <w:iCs/>
        <w:spacing w:val="0"/>
        <w:w w:val="100"/>
        <w:sz w:val="24"/>
        <w:szCs w:val="24"/>
        <w:lang w:val="en-US" w:eastAsia="en-US" w:bidi="ar-SA"/>
      </w:rPr>
    </w:lvl>
    <w:lvl w:ilvl="3">
      <w:numFmt w:val="bullet"/>
      <w:lvlText w:val="●"/>
      <w:lvlJc w:val="left"/>
      <w:pPr>
        <w:ind w:left="721"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4">
      <w:numFmt w:val="bullet"/>
      <w:lvlText w:val="•"/>
      <w:lvlJc w:val="left"/>
      <w:pPr>
        <w:ind w:left="1834" w:hanging="360"/>
      </w:pPr>
      <w:rPr>
        <w:rFonts w:hint="default"/>
        <w:lang w:val="en-US" w:eastAsia="en-US" w:bidi="ar-SA"/>
      </w:rPr>
    </w:lvl>
    <w:lvl w:ilvl="5">
      <w:numFmt w:val="bullet"/>
      <w:lvlText w:val="•"/>
      <w:lvlJc w:val="left"/>
      <w:pPr>
        <w:ind w:left="2948" w:hanging="360"/>
      </w:pPr>
      <w:rPr>
        <w:rFonts w:hint="default"/>
        <w:lang w:val="en-US" w:eastAsia="en-US" w:bidi="ar-SA"/>
      </w:rPr>
    </w:lvl>
    <w:lvl w:ilvl="6">
      <w:numFmt w:val="bullet"/>
      <w:lvlText w:val="•"/>
      <w:lvlJc w:val="left"/>
      <w:pPr>
        <w:ind w:left="4062" w:hanging="360"/>
      </w:pPr>
      <w:rPr>
        <w:rFonts w:hint="default"/>
        <w:lang w:val="en-US" w:eastAsia="en-US" w:bidi="ar-SA"/>
      </w:rPr>
    </w:lvl>
    <w:lvl w:ilvl="7">
      <w:numFmt w:val="bullet"/>
      <w:lvlText w:val="•"/>
      <w:lvlJc w:val="left"/>
      <w:pPr>
        <w:ind w:left="5177" w:hanging="360"/>
      </w:pPr>
      <w:rPr>
        <w:rFonts w:hint="default"/>
        <w:lang w:val="en-US" w:eastAsia="en-US" w:bidi="ar-SA"/>
      </w:rPr>
    </w:lvl>
    <w:lvl w:ilvl="8">
      <w:numFmt w:val="bullet"/>
      <w:lvlText w:val="•"/>
      <w:lvlJc w:val="left"/>
      <w:pPr>
        <w:ind w:left="6291" w:hanging="360"/>
      </w:pPr>
      <w:rPr>
        <w:rFonts w:hint="default"/>
        <w:lang w:val="en-US" w:eastAsia="en-US" w:bidi="ar-SA"/>
      </w:rPr>
    </w:lvl>
  </w:abstractNum>
  <w:abstractNum w:abstractNumId="1" w15:restartNumberingAfterBreak="0">
    <w:nsid w:val="56A65FD0"/>
    <w:multiLevelType w:val="multilevel"/>
    <w:tmpl w:val="092C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537049">
    <w:abstractNumId w:val="0"/>
  </w:num>
  <w:num w:numId="2" w16cid:durableId="4078507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548"/>
    <w:rsid w:val="000553EC"/>
    <w:rsid w:val="00265200"/>
    <w:rsid w:val="00283CCA"/>
    <w:rsid w:val="002B1D1E"/>
    <w:rsid w:val="00362548"/>
    <w:rsid w:val="0074681A"/>
    <w:rsid w:val="00815C46"/>
    <w:rsid w:val="00A55BF6"/>
    <w:rsid w:val="00AC1C10"/>
    <w:rsid w:val="00B0628E"/>
    <w:rsid w:val="00BD31E8"/>
    <w:rsid w:val="00D71C0D"/>
    <w:rsid w:val="00E07D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2CEBC"/>
  <w15:chartTrackingRefBased/>
  <w15:docId w15:val="{5F6ABCF8-4C3F-4B7C-978D-B2F8BA9B4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548"/>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003625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25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25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5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5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5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5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5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5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5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25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25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5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5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548"/>
    <w:rPr>
      <w:rFonts w:eastAsiaTheme="majorEastAsia" w:cstheme="majorBidi"/>
      <w:color w:val="272727" w:themeColor="text1" w:themeTint="D8"/>
    </w:rPr>
  </w:style>
  <w:style w:type="paragraph" w:styleId="Title">
    <w:name w:val="Title"/>
    <w:basedOn w:val="Normal"/>
    <w:next w:val="Normal"/>
    <w:link w:val="TitleChar"/>
    <w:uiPriority w:val="10"/>
    <w:qFormat/>
    <w:rsid w:val="003625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548"/>
    <w:pPr>
      <w:spacing w:before="160"/>
      <w:jc w:val="center"/>
    </w:pPr>
    <w:rPr>
      <w:i/>
      <w:iCs/>
      <w:color w:val="404040" w:themeColor="text1" w:themeTint="BF"/>
    </w:rPr>
  </w:style>
  <w:style w:type="character" w:customStyle="1" w:styleId="QuoteChar">
    <w:name w:val="Quote Char"/>
    <w:basedOn w:val="DefaultParagraphFont"/>
    <w:link w:val="Quote"/>
    <w:uiPriority w:val="29"/>
    <w:rsid w:val="00362548"/>
    <w:rPr>
      <w:i/>
      <w:iCs/>
      <w:color w:val="404040" w:themeColor="text1" w:themeTint="BF"/>
    </w:rPr>
  </w:style>
  <w:style w:type="paragraph" w:styleId="ListParagraph">
    <w:name w:val="List Paragraph"/>
    <w:basedOn w:val="Normal"/>
    <w:uiPriority w:val="34"/>
    <w:qFormat/>
    <w:rsid w:val="00362548"/>
    <w:pPr>
      <w:ind w:left="720"/>
      <w:contextualSpacing/>
    </w:pPr>
  </w:style>
  <w:style w:type="character" w:styleId="IntenseEmphasis">
    <w:name w:val="Intense Emphasis"/>
    <w:basedOn w:val="DefaultParagraphFont"/>
    <w:uiPriority w:val="21"/>
    <w:qFormat/>
    <w:rsid w:val="00362548"/>
    <w:rPr>
      <w:i/>
      <w:iCs/>
      <w:color w:val="0F4761" w:themeColor="accent1" w:themeShade="BF"/>
    </w:rPr>
  </w:style>
  <w:style w:type="paragraph" w:styleId="IntenseQuote">
    <w:name w:val="Intense Quote"/>
    <w:basedOn w:val="Normal"/>
    <w:next w:val="Normal"/>
    <w:link w:val="IntenseQuoteChar"/>
    <w:uiPriority w:val="30"/>
    <w:qFormat/>
    <w:rsid w:val="003625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548"/>
    <w:rPr>
      <w:i/>
      <w:iCs/>
      <w:color w:val="0F4761" w:themeColor="accent1" w:themeShade="BF"/>
    </w:rPr>
  </w:style>
  <w:style w:type="character" w:styleId="IntenseReference">
    <w:name w:val="Intense Reference"/>
    <w:basedOn w:val="DefaultParagraphFont"/>
    <w:uiPriority w:val="32"/>
    <w:qFormat/>
    <w:rsid w:val="00362548"/>
    <w:rPr>
      <w:b/>
      <w:bCs/>
      <w:smallCaps/>
      <w:color w:val="0F4761" w:themeColor="accent1" w:themeShade="BF"/>
      <w:spacing w:val="5"/>
    </w:rPr>
  </w:style>
  <w:style w:type="paragraph" w:styleId="BodyText">
    <w:name w:val="Body Text"/>
    <w:basedOn w:val="Normal"/>
    <w:link w:val="BodyTextChar"/>
    <w:uiPriority w:val="1"/>
    <w:qFormat/>
    <w:rsid w:val="00362548"/>
    <w:rPr>
      <w:sz w:val="24"/>
      <w:szCs w:val="24"/>
    </w:rPr>
  </w:style>
  <w:style w:type="character" w:customStyle="1" w:styleId="BodyTextChar">
    <w:name w:val="Body Text Char"/>
    <w:basedOn w:val="DefaultParagraphFont"/>
    <w:link w:val="BodyText"/>
    <w:uiPriority w:val="1"/>
    <w:rsid w:val="00362548"/>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0553EC"/>
    <w:rPr>
      <w:b/>
      <w:bCs/>
    </w:rPr>
  </w:style>
  <w:style w:type="paragraph" w:styleId="Header">
    <w:name w:val="header"/>
    <w:basedOn w:val="Normal"/>
    <w:link w:val="HeaderChar"/>
    <w:uiPriority w:val="99"/>
    <w:unhideWhenUsed/>
    <w:rsid w:val="00E07D37"/>
    <w:pPr>
      <w:widowControl/>
      <w:tabs>
        <w:tab w:val="center" w:pos="4680"/>
        <w:tab w:val="right" w:pos="9360"/>
      </w:tabs>
      <w:autoSpaceDE/>
      <w:autoSpaceDN/>
    </w:pPr>
    <w:rPr>
      <w:rFonts w:asciiTheme="minorHAnsi" w:eastAsiaTheme="minorHAnsi" w:hAnsiTheme="minorHAnsi" w:cstheme="minorBidi"/>
      <w:kern w:val="2"/>
      <w:sz w:val="24"/>
      <w:szCs w:val="24"/>
      <w14:ligatures w14:val="standardContextual"/>
    </w:rPr>
  </w:style>
  <w:style w:type="character" w:customStyle="1" w:styleId="HeaderChar">
    <w:name w:val="Header Char"/>
    <w:basedOn w:val="DefaultParagraphFont"/>
    <w:link w:val="Header"/>
    <w:uiPriority w:val="99"/>
    <w:rsid w:val="00E07D37"/>
    <w:rPr>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2296</Words>
  <Characters>13089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Aftab Ahmed Madni</dc:creator>
  <cp:keywords/>
  <dc:description/>
  <cp:lastModifiedBy>Nikhil Bakale</cp:lastModifiedBy>
  <cp:revision>2</cp:revision>
  <dcterms:created xsi:type="dcterms:W3CDTF">2025-11-23T17:49:00Z</dcterms:created>
  <dcterms:modified xsi:type="dcterms:W3CDTF">2025-11-23T17:49:00Z</dcterms:modified>
</cp:coreProperties>
</file>