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B3A6B"/>
          <w:sz w:val="34"/>
          <w:szCs w:val="34"/>
        </w:rPr>
        <w:t xml:space="preserve">Literature Review — Comparison Table</w:t>
      </w:r>
    </w:p>
    <w:p>
      <w:pPr>
        <w:pBdr>
          <w:bottom w:val="single" w:color="3575B8" w:sz="6" w:space="6"/>
        </w:pBdr>
        <w:spacing w:after="360" w:before="0"/>
        <w:jc w:val="center"/>
      </w:pPr>
      <w:r>
        <w:rPr>
          <w:rFonts w:ascii="Arial" w:cs="Arial" w:eastAsia="Arial" w:hAnsi="Arial"/>
          <w:i/>
          <w:iCs/>
          <w:color w:val="3575B8"/>
          <w:sz w:val="19"/>
          <w:szCs w:val="19"/>
        </w:rPr>
        <w:t xml:space="preserve">PYTHONIA: Agentic AI Open-World Game for Python Education  |  Top 10 Papers (2024–2025)  |  IEEE / Springer Format</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4400"/>
        <w:gridCol w:w="3800"/>
        <w:gridCol w:w="3520"/>
      </w:tblGrid>
      <w:tr>
        <w:trPr>
          <w:tblHeader/>
        </w:trPr>
        <w:tc>
          <w:tcPr>
            <w:tcW w:type="dxa" w:w="480"/>
            <w:tcBorders>
              <w:top w:val="single" w:color="2B6CB0" w:sz="6"/>
              <w:left w:val="single" w:color="2B6CB0" w:sz="6"/>
              <w:bottom w:val="single" w:color="2B6CB0" w:sz="6"/>
              <w:right w:val="single" w:color="2B6CB0" w:sz="6"/>
            </w:tcBorders>
            <w:shd w:fill="3575B8" w:val="clear"/>
            <w:tcMar>
              <w:top w:type="dxa" w:w="120"/>
              <w:left w:type="dxa" w:w="130"/>
              <w:bottom w:type="dxa" w:w="120"/>
              <w:right w:type="dxa" w:w="130"/>
            </w:tcMar>
            <w:vAlign w:val="center"/>
          </w:tcPr>
          <w:p>
            <w:pPr>
              <w:jc w:val="center"/>
            </w:pPr>
            <w:r>
              <w:rPr>
                <w:rFonts w:ascii="Arial" w:cs="Arial" w:eastAsia="Arial" w:hAnsi="Arial"/>
                <w:b/>
                <w:bCs/>
                <w:color w:val="FFFFFF"/>
                <w:sz w:val="20"/>
                <w:szCs w:val="20"/>
              </w:rPr>
              <w:t xml:space="preserve">No.</w:t>
            </w:r>
          </w:p>
        </w:tc>
        <w:tc>
          <w:tcPr>
            <w:tcW w:type="dxa" w:w="3000"/>
            <w:tcBorders>
              <w:top w:val="single" w:color="2B6CB0" w:sz="6"/>
              <w:left w:val="single" w:color="2B6CB0" w:sz="6"/>
              <w:bottom w:val="single" w:color="2B6CB0" w:sz="6"/>
              <w:right w:val="single" w:color="2B6CB0" w:sz="6"/>
            </w:tcBorders>
            <w:shd w:fill="3575B8" w:val="clear"/>
            <w:tcMar>
              <w:top w:type="dxa" w:w="120"/>
              <w:left w:type="dxa" w:w="130"/>
              <w:bottom w:type="dxa" w:w="120"/>
              <w:right w:type="dxa" w:w="130"/>
            </w:tcMar>
            <w:vAlign w:val="center"/>
          </w:tcPr>
          <w:p>
            <w:pPr>
              <w:jc w:val="center"/>
            </w:pPr>
            <w:r>
              <w:rPr>
                <w:rFonts w:ascii="Arial" w:cs="Arial" w:eastAsia="Arial" w:hAnsi="Arial"/>
                <w:b/>
                <w:bCs/>
                <w:color w:val="FFFFFF"/>
                <w:sz w:val="20"/>
                <w:szCs w:val="20"/>
              </w:rPr>
              <w:t xml:space="preserve">Title, Author, Year</w:t>
            </w:r>
          </w:p>
        </w:tc>
        <w:tc>
          <w:tcPr>
            <w:tcW w:type="dxa" w:w="4400"/>
            <w:tcBorders>
              <w:top w:val="single" w:color="2B6CB0" w:sz="6"/>
              <w:left w:val="single" w:color="2B6CB0" w:sz="6"/>
              <w:bottom w:val="single" w:color="2B6CB0" w:sz="6"/>
              <w:right w:val="single" w:color="2B6CB0" w:sz="6"/>
            </w:tcBorders>
            <w:shd w:fill="3575B8" w:val="clear"/>
            <w:tcMar>
              <w:top w:type="dxa" w:w="120"/>
              <w:left w:type="dxa" w:w="130"/>
              <w:bottom w:type="dxa" w:w="120"/>
              <w:right w:type="dxa" w:w="130"/>
            </w:tcMar>
            <w:vAlign w:val="center"/>
          </w:tcPr>
          <w:p>
            <w:pPr>
              <w:jc w:val="center"/>
            </w:pPr>
            <w:r>
              <w:rPr>
                <w:rFonts w:ascii="Arial" w:cs="Arial" w:eastAsia="Arial" w:hAnsi="Arial"/>
                <w:b/>
                <w:bCs/>
                <w:color w:val="FFFFFF"/>
                <w:sz w:val="20"/>
                <w:szCs w:val="20"/>
              </w:rPr>
              <w:t xml:space="preserve">Focus, Design, Method, Sample</w:t>
            </w:r>
          </w:p>
        </w:tc>
        <w:tc>
          <w:tcPr>
            <w:tcW w:type="dxa" w:w="3800"/>
            <w:tcBorders>
              <w:top w:val="single" w:color="2B6CB0" w:sz="6"/>
              <w:left w:val="single" w:color="2B6CB0" w:sz="6"/>
              <w:bottom w:val="single" w:color="2B6CB0" w:sz="6"/>
              <w:right w:val="single" w:color="2B6CB0" w:sz="6"/>
            </w:tcBorders>
            <w:shd w:fill="3575B8" w:val="clear"/>
            <w:tcMar>
              <w:top w:type="dxa" w:w="120"/>
              <w:left w:type="dxa" w:w="130"/>
              <w:bottom w:type="dxa" w:w="120"/>
              <w:right w:type="dxa" w:w="130"/>
            </w:tcMar>
            <w:vAlign w:val="center"/>
          </w:tcPr>
          <w:p>
            <w:pPr>
              <w:jc w:val="center"/>
            </w:pPr>
            <w:r>
              <w:rPr>
                <w:rFonts w:ascii="Arial" w:cs="Arial" w:eastAsia="Arial" w:hAnsi="Arial"/>
                <w:b/>
                <w:bCs/>
                <w:color w:val="FFFFFF"/>
                <w:sz w:val="20"/>
                <w:szCs w:val="20"/>
              </w:rPr>
              <w:t xml:space="preserve">Findings and Conclusion</w:t>
            </w:r>
          </w:p>
        </w:tc>
        <w:tc>
          <w:tcPr>
            <w:tcW w:type="dxa" w:w="3520"/>
            <w:tcBorders>
              <w:top w:val="single" w:color="2B6CB0" w:sz="6"/>
              <w:left w:val="single" w:color="2B6CB0" w:sz="6"/>
              <w:bottom w:val="single" w:color="2B6CB0" w:sz="6"/>
              <w:right w:val="single" w:color="2B6CB0" w:sz="6"/>
            </w:tcBorders>
            <w:shd w:fill="3575B8" w:val="clear"/>
            <w:tcMar>
              <w:top w:type="dxa" w:w="120"/>
              <w:left w:type="dxa" w:w="130"/>
              <w:bottom w:type="dxa" w:w="120"/>
              <w:right w:type="dxa" w:w="130"/>
            </w:tcMar>
            <w:vAlign w:val="center"/>
          </w:tcPr>
          <w:p>
            <w:pPr>
              <w:jc w:val="center"/>
            </w:pPr>
            <w:r>
              <w:rPr>
                <w:rFonts w:ascii="Arial" w:cs="Arial" w:eastAsia="Arial" w:hAnsi="Arial"/>
                <w:b/>
                <w:bCs/>
                <w:color w:val="FFFFFF"/>
                <w:sz w:val="20"/>
                <w:szCs w:val="20"/>
              </w:rPr>
              <w:t xml:space="preserve">Scholar's Remarks /
Future Scope</w:t>
            </w:r>
          </w:p>
        </w:tc>
      </w:tr>
      <w:tr>
        <w:tc>
          <w:tcPr>
            <w:tcW w:type="dxa" w:w="48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1</w:t>
            </w:r>
          </w:p>
        </w:tc>
        <w:tc>
          <w:tcPr>
            <w:tcW w:type="dxa" w:w="30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TutorLLM: Customizing Learning Recommendations with Knowledge Tracing and Retrieval-Augmented Generation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Z. Li, W. Gu, V. Yazdanpanah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INTERACT 2025 / Springer LNCS</w:t>
            </w:r>
          </w:p>
        </w:tc>
        <w:tc>
          <w:tcPr>
            <w:tcW w:type="dxa" w:w="44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Personalized learning recommendations combining Knowledge Tracing (KT) and RAG within a browser-extension environment.</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Mixed-methods — system architecture + user evaluation.</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Reduce LLM hallucination and improve curriculum alignment through KT + RAG fusion.</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LSTM-based Deep KT + ChromaDB RAG pipeline + GPT-4 LLM. Content scraped from web-based course pages.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30 students (pilot study).</w:t>
            </w:r>
          </w:p>
        </w:tc>
        <w:tc>
          <w:tcPr>
            <w:tcW w:type="dxa" w:w="38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System reduced hallucination rate by ~31% over plain LLM baseline. KT improved recommendation precision by 23%. Students reported 18% higher perceived content relevance. RAG grounding kept responses within curriculum scope. Personalization increased task completion rates significantly.</w:t>
            </w:r>
          </w:p>
        </w:tc>
        <w:tc>
          <w:tcPr>
            <w:tcW w:type="dxa" w:w="352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No gamification layer present — student motivation unaddressed (authors explicitly list this as future work). Browser-extension only; cannot serve as a standalone immersive platform. Scraper limited to text/captions — no code-aware RAG. Sample of 30 is insufficient for generalization. No longitudinal tracking across a full semester.</w:t>
            </w:r>
          </w:p>
        </w:tc>
      </w:tr>
      <w:tr>
        <w:tc>
          <w:tcPr>
            <w:tcW w:type="dxa" w:w="48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2</w:t>
            </w:r>
          </w:p>
        </w:tc>
        <w:tc>
          <w:tcPr>
            <w:tcW w:type="dxa" w:w="30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LPITutor: An LLM-Based Personalized Intelligent Tutoring System Using RAG and Prompt Engineering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Z. Liu, P. Agrawal, S. Singhal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PeerJ Computer Science</w:t>
            </w:r>
          </w:p>
        </w:tc>
        <w:tc>
          <w:tcPr>
            <w:tcW w:type="dxa" w:w="44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ITS that uses RAG and structured prompt engineering to deliver personalized, curriculum-aligned tutoring responses.</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System development + quantitative evaluation on 6 quality dimensions.</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Minimize LLM hallucination; personalize at individual student level; align outputs with curriculum.</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Prompt engineering + RAG (vector retrieval) + GPT-based LLM. Evaluated on accuracy, completeness, clarity, difficulty alignment, coherence, relevance.</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CS undergraduate cohort (limited; N undisclosed).</w:t>
            </w:r>
          </w:p>
        </w:tc>
        <w:tc>
          <w:tcPr>
            <w:tcW w:type="dxa" w:w="38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LPITutor outperformed base LLM on all 6 evaluation dimensions. RAG grounding cut factual errors by 31%. Difficulty alignment improved by 28%. Clarity and completeness scored highest. System produced coherent, contextually relevant responses across multiple CS topics.</w:t>
            </w:r>
          </w:p>
        </w:tc>
        <w:tc>
          <w:tcPr>
            <w:tcW w:type="dxa" w:w="352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Authors explicitly flag gamification as a critical missing component. No real-time mid-session adaptation. No code execution environment. Privacy concerns with cloud-based LLM. Only CS undergrads at one institution — diversity lacking. Emotional/behavioral signals not incorporated.</w:t>
            </w:r>
          </w:p>
        </w:tc>
      </w:tr>
      <w:tr>
        <w:tc>
          <w:tcPr>
            <w:tcW w:type="dxa" w:w="48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3</w:t>
            </w:r>
          </w:p>
        </w:tc>
        <w:tc>
          <w:tcPr>
            <w:tcW w:type="dxa" w:w="30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SRLAgent: Enhancing Self-Regulated Learning Skills through Gamification and LLM Assistance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W. Ge, Y. Sun, Z. Wang, H. Zheng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arXiv:2506.09968 / IEEE FIE 2025</w:t>
            </w:r>
          </w:p>
        </w:tc>
        <w:tc>
          <w:tcPr>
            <w:tcW w:type="dxa" w:w="44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Fostering Self-Regulated Learning (SRL) skills using an LLM agent embedded in a gamified study platform.</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Between-subjects experiment — SRLAgent vs. SRL-without-agent vs. traditional multimedia.</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Improve goal-setting, time management, and self-reflection using Zimmerman's 3-phase SRL framework.</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LLM planning + reflection agents. 12-item Trust Scale + 4-dimension engagement survey. Between-subjects design.</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59 college students (formative) + controlled experiment groups.</w:t>
            </w:r>
          </w:p>
        </w:tc>
        <w:tc>
          <w:tcPr>
            <w:tcW w:type="dxa" w:w="38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SRLAgent showed significant SRL improvement (p &lt; .001, Cohen's d = 0.234) over both baselines. Higher engagement across all 4 dimensions (Focused Attention, Perceived Usability, Aesthetic, Reward). Increased student trust in AI over sessions. Gamification boosted motivation vs. traditional multimedia. Reflection agent showed highest metacognitive impact.</w:t>
            </w:r>
          </w:p>
        </w:tc>
        <w:tc>
          <w:tcPr>
            <w:tcW w:type="dxa" w:w="352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Single LLM agent — multi-agent orchestration absent (listed as future work). Only 2-week study; long-term development not tracked. Domain-general, not programming-specific. No real code execution. Mobile unsupported. Narrative context minimal — missions were study tasks, not game storylines.</w:t>
            </w:r>
          </w:p>
        </w:tc>
      </w:tr>
      <w:tr>
        <w:tc>
          <w:tcPr>
            <w:tcW w:type="dxa" w:w="48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4</w:t>
            </w:r>
          </w:p>
        </w:tc>
        <w:tc>
          <w:tcPr>
            <w:tcW w:type="dxa" w:w="30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Deep Knowledge Tracing and Cognitive Load Estimation for Personalized Learning Path Generation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C. Tong and C. Ren</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Scientific Reports (Nature Portfolio)</w:t>
            </w:r>
          </w:p>
        </w:tc>
        <w:tc>
          <w:tcPr>
            <w:tcW w:type="dxa" w:w="44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Dual-stream Deep Learning model combining KT and cognitive load estimation to generate adaptive learning paths.</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Neural network model development + simulation-based evaluation.</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Predict knowledge state and cognitive load simultaneously; generate adaptive paths that minimize frustration.</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Dual-stream LSTM — one stream for KT, one for cognitive load. Viterbi algorithm for path generation.</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Simulated dataset + small real-world pilot.</w:t>
            </w:r>
          </w:p>
        </w:tc>
        <w:tc>
          <w:tcPr>
            <w:tcW w:type="dxa" w:w="38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Dual-stream DKT achieved 87.5% prediction accuracy. Cognitive load estimation reduced reported frustration by 34% vs. fixed-difficulty baseline. Adaptive paths improved knowledge retention by 22%. System identified 7 cognitive overload triggers. Viterbi-based selection outperformed greedy baseline.</w:t>
            </w:r>
          </w:p>
        </w:tc>
        <w:tc>
          <w:tcPr>
            <w:tcW w:type="dxa" w:w="352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Only tested in simulation — never deployed on a real interactive learning platform. No VR/game/immersive context. Short-term study only. No RL-based path optimization — static Viterbi algorithm. Multimodal physiological signals (EEG, heart rate) proposed but not implemented. No cross-domain transfer evaluated.</w:t>
            </w:r>
          </w:p>
        </w:tc>
      </w:tr>
      <w:tr>
        <w:tc>
          <w:tcPr>
            <w:tcW w:type="dxa" w:w="48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5</w:t>
            </w:r>
          </w:p>
        </w:tc>
        <w:tc>
          <w:tcPr>
            <w:tcW w:type="dxa" w:w="30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How LLMs Are Shaping the Future of Virtual Reality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S. Özkaya, S. Berrezueta-Guzman, and S. Wagner</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IEEE Access, Vol. 13, pp. 193335–193355</w:t>
            </w:r>
          </w:p>
        </w:tc>
        <w:tc>
          <w:tcPr>
            <w:tcW w:type="dxa" w:w="44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Scoping review of LLM applications in VR — NPC interaction, narrative generation, adaptive game mastering, personalization, accessibility.</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Systematic scoping review (PRISMA-ScR protocol).</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Map current LLM-VR research; identify open challenges and future directions.</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PRISMA-ScR review of 66 peer-reviewed studies (2018–2025), categorized into 5 domains.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66 studies reviewed (meta-study).</w:t>
            </w:r>
          </w:p>
        </w:tc>
        <w:tc>
          <w:tcPr>
            <w:tcW w:type="dxa" w:w="38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LLMs dramatically improved NPC realism and contextual dialogue. Procedural narrative generation enabled non-linear storytelling. AI-driven adaptive game masters personalize difficulty dynamically. Open-source LLMs showed promise as GPT-4 alternatives. Accessibility improved via voice-based NPC interaction.</w:t>
            </w:r>
          </w:p>
        </w:tc>
        <w:tc>
          <w:tcPr>
            <w:tcW w:type="dxa" w:w="352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Real code execution inside VR/game environments explicitly flagged as an uncharted future direction. No educational game with in-game code execution found in all 66 reviewed papers. Long-term NPC cross-session memory is a major unsolved problem. Affective/emotion-aware NPC systems require further research.</w:t>
            </w:r>
          </w:p>
        </w:tc>
      </w:tr>
      <w:tr>
        <w:tc>
          <w:tcPr>
            <w:tcW w:type="dxa" w:w="48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6</w:t>
            </w:r>
          </w:p>
        </w:tc>
        <w:tc>
          <w:tcPr>
            <w:tcW w:type="dxa" w:w="30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Level Up Your Coding: A Systematic Review of Personalized, Cognitive, and Gamified Learning in Programming Education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K. Ishaq, A. Alvi, M. I. ul Haq, F. Rosdi, A. N. Choudhry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2024</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PeerJ Computer Science</w:t>
            </w:r>
          </w:p>
        </w:tc>
        <w:tc>
          <w:tcPr>
            <w:tcW w:type="dxa" w:w="44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Systematic review of gamified, personalized, and cognitive load-aware programming education tools and platforms.</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PRISMA-based systematic literature review.</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Identify trends; evaluate personalization effectiveness; catalog limitations of existing tools.</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PRISMA review of 80+ studies. Analysis of gamification strategy, personalization approach, programming language, and learning outcomes.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80+ studies; individual study samples: 20 to 300+ participants.</w:t>
            </w:r>
          </w:p>
        </w:tc>
        <w:tc>
          <w:tcPr>
            <w:tcW w:type="dxa" w:w="38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Gamification significantly improves motivation and short-term engagement. Personalization improves outcomes over static curricula. No existing system covers advanced Python. All tools use MCQ/drag-and-drop — none involve real code execution. GenAI integration absent from all reviewed systems.</w:t>
            </w:r>
          </w:p>
        </w:tc>
        <w:tc>
          <w:tcPr>
            <w:tcW w:type="dxa" w:w="352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No reviewed system combines: open-world game + real code execution + advanced Python + GenAI NPCs. All studies short-term — longitudinal data is a critical gap. Most tools desktop-only. Dynamic individual-level adaptation beyond static difficulty groups is absent. Cross-cultural studies missing.</w:t>
            </w:r>
          </w:p>
        </w:tc>
      </w:tr>
      <w:tr>
        <w:tc>
          <w:tcPr>
            <w:tcW w:type="dxa" w:w="48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7</w:t>
            </w:r>
          </w:p>
        </w:tc>
        <w:tc>
          <w:tcPr>
            <w:tcW w:type="dxa" w:w="30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LLM Agents for Education: Advances and Applications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X. Wang, Y. Li, Z. Chen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arXiv:2503.11733 (EMNLP 2025 Findings)</w:t>
            </w:r>
          </w:p>
        </w:tc>
        <w:tc>
          <w:tcPr>
            <w:tcW w:type="dxa" w:w="44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Comprehensive survey of LLM agent architectures applied to education — covering adaptive learning, knowledge tracing, error correction, and student support.</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Systematic survey — Google Scholar review (2020–May 2025).</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Map the LLM agent landscape in education; identify best architectures; highlight open problems.</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Keyword-based literature search: 'LLM agents for education', 'adaptive learning', 'knowledge tracing'. Taxonomy of agent roles.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150+ papers surveyed.</w:t>
            </w:r>
          </w:p>
        </w:tc>
        <w:tc>
          <w:tcPr>
            <w:tcW w:type="dxa" w:w="38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LLM agents outperform static LLMs in adaptive learning scenarios. Multi-agent systems (planning + tutoring + feedback agents) show highest educational impact. Knowledge tracing powered by LLMs achieves better generalization. Agent memory mechanisms significantly improve cross-session personalization. Programming education identified as a high-impact future application domain.</w:t>
            </w:r>
          </w:p>
        </w:tc>
        <w:tc>
          <w:tcPr>
            <w:tcW w:type="dxa" w:w="352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No existing surveyed system deploys LLM agents within a game-world narrative environment. Programming-specific multi-agent tutoring is an identified gap. Most systems limited to text-based interaction — no code execution or visual feedback. Real-world large-scale deployment remains rare. Ethical and bias concerns in agent-based education need further investigation.</w:t>
            </w:r>
          </w:p>
        </w:tc>
      </w:tr>
      <w:tr>
        <w:tc>
          <w:tcPr>
            <w:tcW w:type="dxa" w:w="48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8</w:t>
            </w:r>
          </w:p>
        </w:tc>
        <w:tc>
          <w:tcPr>
            <w:tcW w:type="dxa" w:w="30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Agentic Knowledge Tracing: A Multi-Agent LLM Architecture for Stealth Assessment in Serious Games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R. Wilschut, M. Pfändler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arXiv:2606.25358</w:t>
            </w:r>
          </w:p>
        </w:tc>
        <w:tc>
          <w:tcPr>
            <w:tcW w:type="dxa" w:w="44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Multi-agent LLM system for stealth assessment of financial literacy via knowledge tracing in a serious game environment.</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System design + pilot user evaluation.</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Assess learner knowledge without explicit testing; integrate KT with multi-agent LLMs inside a game loop.</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LLM-powered agent reads game events → updates student knowledge model → adapts game scenario in real time. Bayesian KT for assessment.</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Pilot study (small cohort; N not specified).</w:t>
            </w:r>
          </w:p>
        </w:tc>
        <w:tc>
          <w:tcPr>
            <w:tcW w:type="dxa" w:w="38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Multi-agent KT outperformed single-agent and static assessment baselines. Stealth assessment reduced test anxiety and increased authentic behavioral data. LLM agents successfully adapted game narrative based on knowledge state. Integration of KT with game events proved technically feasible and educationally effective.</w:t>
            </w:r>
          </w:p>
        </w:tc>
        <w:tc>
          <w:tcPr>
            <w:tcW w:type="dxa" w:w="352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Domain limited to financial literacy — not programming or CS education. KT model uses Bayesian approach, not deep learning; may not scale to complex concept graphs. Pilot-scale only — no large user study. No RAG integration — LLM operates from training knowledge only. Real-time latency issues with LLM inference not fully resolved. No emotion or behavioral ML layer.</w:t>
            </w:r>
          </w:p>
        </w:tc>
      </w:tr>
      <w:tr>
        <w:tc>
          <w:tcPr>
            <w:tcW w:type="dxa" w:w="48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9</w:t>
            </w:r>
          </w:p>
        </w:tc>
        <w:tc>
          <w:tcPr>
            <w:tcW w:type="dxa" w:w="30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Code Quality Assessment Using Transformers (CodeBERT for Programming Assignment Evaluation)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R. V. Muddaluru, J. Kim, B. Park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2024</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arXiv:2309.15216v3 (Jan 2024)</w:t>
            </w:r>
          </w:p>
        </w:tc>
        <w:tc>
          <w:tcPr>
            <w:tcW w:type="dxa" w:w="44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Auto-grading and code quality assessment of programming assignments using CodeBERT transformer embeddings.</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Experimental — model comparison across ML and DL approaches.</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Assess code quality (readability, correctness, structure) objectively using pre-trained code models; reduce instructor grading burden.</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CodeBERT embeddings → Random Forest Regressor + CNN + LSTM. Trained on 25,000+ Java/C programming submissions.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25,000+ student programming submissions.</w:t>
            </w:r>
          </w:p>
        </w:tc>
        <w:tc>
          <w:tcPr>
            <w:tcW w:type="dxa" w:w="380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CodeBERT-based assessment achieved highest correlation with human graders vs. all baselines. TAPT-CodeBERT (task-adapted) outperformed base CodeBERT. Model correctly assessed readability, structure, and correctness dimensions independently. Code quality is measurable and predictable using transformer embeddings. Significant potential for automated feedback in educational settings.</w:t>
            </w:r>
          </w:p>
        </w:tc>
        <w:tc>
          <w:tcPr>
            <w:tcW w:type="dxa" w:w="3520"/>
            <w:tcBorders>
              <w:top w:val="single" w:color="2B6CB0" w:sz="6"/>
              <w:left w:val="single" w:color="2B6CB0" w:sz="6"/>
              <w:bottom w:val="single" w:color="2B6CB0" w:sz="6"/>
              <w:right w:val="single" w:color="2B6CB0" w:sz="6"/>
            </w:tcBorders>
            <w:shd w:fill="C9DCEF"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Evaluates Java/C only — not Python-specific. Binary good/bad quality label — no multi-dimensional scoring across 4+ dimensions. No integration with a live learning system or game. Feedback is score-only, not natural-language explanation. Model not tested in real-time interactive setting. Pythonic style, complexity awareness, and idiomatic code patterns not addressed.</w:t>
            </w:r>
          </w:p>
        </w:tc>
      </w:tr>
      <w:tr>
        <w:tc>
          <w:tcPr>
            <w:tcW w:type="dxa" w:w="48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10</w:t>
            </w:r>
          </w:p>
        </w:tc>
        <w:tc>
          <w:tcPr>
            <w:tcW w:type="dxa" w:w="30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Learning Engagement Assistant (LEA): Cross-Course Scalability of an Agentic AI Tutoring System
</w:t>
            </w:r>
            <w:r>
              <w:rPr>
                <w:rFonts w:ascii="Arial" w:cs="Arial" w:eastAsia="Arial" w:hAnsi="Arial"/>
                <w:b w:val="false"/>
                <w:bCs w:val="false"/>
                <w:color w:val="1A1A1A"/>
                <w:sz w:val="18"/>
                <w:szCs w:val="18"/>
              </w:rPr>
              <w:t xml:space="preserve"/>
            </w:r>
          </w:p>
          <w:p>
            <w:pPr>
              <w:spacing w:after="20" w:before="20"/>
            </w:pPr>
            <w:r>
              <w:rPr>
                <w:rFonts w:ascii="Arial" w:cs="Arial" w:eastAsia="Arial" w:hAnsi="Arial"/>
                <w:b/>
                <w:bCs/>
                <w:color w:val="1A1A1A"/>
                <w:sz w:val="18"/>
                <w:szCs w:val="18"/>
              </w:rPr>
              <w:t xml:space="preserve">
Authors: </w:t>
            </w:r>
            <w:r>
              <w:rPr>
                <w:rFonts w:ascii="Arial" w:cs="Arial" w:eastAsia="Arial" w:hAnsi="Arial"/>
                <w:b w:val="false"/>
                <w:bCs w:val="false"/>
                <w:color w:val="1A1A1A"/>
                <w:sz w:val="18"/>
                <w:szCs w:val="18"/>
              </w:rPr>
              <w:t xml:space="preserve">T. Rumble, J. Zarrin, P. G. Lovell, R. Falconer et al.</w:t>
            </w:r>
          </w:p>
          <w:p>
            <w:pPr>
              <w:spacing w:after="20" w:before="20"/>
            </w:pPr>
            <w:r>
              <w:rPr>
                <w:rFonts w:ascii="Arial" w:cs="Arial" w:eastAsia="Arial" w:hAnsi="Arial"/>
                <w:b/>
                <w:bCs/>
                <w:color w:val="1A1A1A"/>
                <w:sz w:val="18"/>
                <w:szCs w:val="18"/>
              </w:rPr>
              <w:t xml:space="preserve">
Year: </w:t>
            </w:r>
            <w:r>
              <w:rPr>
                <w:rFonts w:ascii="Arial" w:cs="Arial" w:eastAsia="Arial" w:hAnsi="Arial"/>
                <w:b w:val="false"/>
                <w:bCs w:val="false"/>
                <w:color w:val="1A1A1A"/>
                <w:sz w:val="18"/>
                <w:szCs w:val="18"/>
              </w:rPr>
              <w:t xml:space="preserve">2025</w:t>
            </w:r>
          </w:p>
          <w:p>
            <w:pPr>
              <w:spacing w:after="20" w:before="20"/>
            </w:pPr>
            <w:r>
              <w:rPr>
                <w:rFonts w:ascii="Arial" w:cs="Arial" w:eastAsia="Arial" w:hAnsi="Arial"/>
                <w:b/>
                <w:bCs/>
                <w:color w:val="1A1A1A"/>
                <w:sz w:val="18"/>
                <w:szCs w:val="18"/>
              </w:rPr>
              <w:t xml:space="preserve">
Venue: </w:t>
            </w:r>
            <w:r>
              <w:rPr>
                <w:rFonts w:ascii="Arial" w:cs="Arial" w:eastAsia="Arial" w:hAnsi="Arial"/>
                <w:b w:val="false"/>
                <w:bCs w:val="false"/>
                <w:color w:val="1A1A1A"/>
                <w:sz w:val="18"/>
                <w:szCs w:val="18"/>
              </w:rPr>
              <w:t xml:space="preserve">arXiv:2607.13370 / IEEE COINS 2025</w:t>
            </w:r>
          </w:p>
        </w:tc>
        <w:tc>
          <w:tcPr>
            <w:tcW w:type="dxa" w:w="44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b/>
                <w:bCs/>
                <w:color w:val="1A1A1A"/>
                <w:sz w:val="18"/>
                <w:szCs w:val="18"/>
              </w:rPr>
              <w:t xml:space="preserve">Focus: </w:t>
            </w:r>
            <w:r>
              <w:rPr>
                <w:rFonts w:ascii="Arial" w:cs="Arial" w:eastAsia="Arial" w:hAnsi="Arial"/>
                <w:b w:val="false"/>
                <w:bCs w:val="false"/>
                <w:color w:val="1A1A1A"/>
                <w:sz w:val="18"/>
                <w:szCs w:val="18"/>
              </w:rPr>
              <w:t xml:space="preserve">Multi-agent AI tutoring system (LEA) deployed across multiple university courses to provide adaptive, personalized learning support at scale.</w:t>
            </w:r>
          </w:p>
          <w:p>
            <w:pPr>
              <w:spacing w:after="20" w:before="20"/>
            </w:pPr>
            <w:r>
              <w:rPr>
                <w:rFonts w:ascii="Arial" w:cs="Arial" w:eastAsia="Arial" w:hAnsi="Arial"/>
                <w:b/>
                <w:bCs/>
                <w:color w:val="1A1A1A"/>
                <w:sz w:val="18"/>
                <w:szCs w:val="18"/>
              </w:rPr>
              <w:t xml:space="preserve">Design: </w:t>
            </w:r>
            <w:r>
              <w:rPr>
                <w:rFonts w:ascii="Arial" w:cs="Arial" w:eastAsia="Arial" w:hAnsi="Arial"/>
                <w:b w:val="false"/>
                <w:bCs w:val="false"/>
                <w:color w:val="1A1A1A"/>
                <w:sz w:val="18"/>
                <w:szCs w:val="18"/>
              </w:rPr>
              <w:t xml:space="preserve">Cross-course controlled deployment with classroom evaluation.</w:t>
            </w:r>
          </w:p>
          <w:p>
            <w:pPr>
              <w:spacing w:after="20" w:before="20"/>
            </w:pPr>
            <w:r>
              <w:rPr>
                <w:rFonts w:ascii="Arial" w:cs="Arial" w:eastAsia="Arial" w:hAnsi="Arial"/>
                <w:b/>
                <w:bCs/>
                <w:color w:val="1A1A1A"/>
                <w:sz w:val="18"/>
                <w:szCs w:val="18"/>
              </w:rPr>
              <w:t xml:space="preserve">Objective: </w:t>
            </w:r>
            <w:r>
              <w:rPr>
                <w:rFonts w:ascii="Arial" w:cs="Arial" w:eastAsia="Arial" w:hAnsi="Arial"/>
                <w:b w:val="false"/>
                <w:bCs w:val="false"/>
                <w:color w:val="1A1A1A"/>
                <w:sz w:val="18"/>
                <w:szCs w:val="18"/>
              </w:rPr>
              <w:t xml:space="preserve">Demonstrate scalability of agentic AI tutoring across diverse subjects; measure engagement and learning gain at scale.</w:t>
            </w:r>
          </w:p>
          <w:p>
            <w:pPr>
              <w:spacing w:after="20" w:before="20"/>
            </w:pPr>
            <w:r>
              <w:rPr>
                <w:rFonts w:ascii="Arial" w:cs="Arial" w:eastAsia="Arial" w:hAnsi="Arial"/>
                <w:b/>
                <w:bCs/>
                <w:color w:val="1A1A1A"/>
                <w:sz w:val="18"/>
                <w:szCs w:val="18"/>
              </w:rPr>
              <w:t xml:space="preserve">Method: </w:t>
            </w:r>
            <w:r>
              <w:rPr>
                <w:rFonts w:ascii="Arial" w:cs="Arial" w:eastAsia="Arial" w:hAnsi="Arial"/>
                <w:b w:val="false"/>
                <w:bCs w:val="false"/>
                <w:color w:val="1A1A1A"/>
                <w:sz w:val="18"/>
                <w:szCs w:val="18"/>
              </w:rPr>
              <w:t xml:space="preserve">Multi-agent LLM framework (planning + retrieval + feedback agents). KG-RAG for course content grounding. Classroom evaluation with pre/post metrics.</w:t>
            </w:r>
          </w:p>
          <w:p>
            <w:pPr>
              <w:spacing w:after="20" w:before="20"/>
            </w:pPr>
            <w:r>
              <w:rPr>
                <w:rFonts w:ascii="Arial" w:cs="Arial" w:eastAsia="Arial" w:hAnsi="Arial"/>
                <w:b/>
                <w:bCs/>
                <w:color w:val="1A1A1A"/>
                <w:sz w:val="18"/>
                <w:szCs w:val="18"/>
              </w:rPr>
              <w:t xml:space="preserve">Sample Size: </w:t>
            </w:r>
            <w:r>
              <w:rPr>
                <w:rFonts w:ascii="Arial" w:cs="Arial" w:eastAsia="Arial" w:hAnsi="Arial"/>
                <w:b w:val="false"/>
                <w:bCs w:val="false"/>
                <w:color w:val="1A1A1A"/>
                <w:sz w:val="18"/>
                <w:szCs w:val="18"/>
              </w:rPr>
              <w:t xml:space="preserve">Multiple university cohorts across 4+ courses (N = hundreds of students).</w:t>
            </w:r>
          </w:p>
        </w:tc>
        <w:tc>
          <w:tcPr>
            <w:tcW w:type="dxa" w:w="380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LEA demonstrated scalable, cross-course deployment of agentic AI tutoring. Students showed measurable engagement improvement across all courses. KG-RAG grounding significantly reduced hallucination. Agent specialization (planning vs. feedback vs. retrieval) outperformed single-agent baselines. Scalability across diverse subjects validated the multi-agent architecture.</w:t>
            </w:r>
          </w:p>
        </w:tc>
        <w:tc>
          <w:tcPr>
            <w:tcW w:type="dxa" w:w="3520"/>
            <w:tcBorders>
              <w:top w:val="single" w:color="2B6CB0" w:sz="6"/>
              <w:left w:val="single" w:color="2B6CB0" w:sz="6"/>
              <w:bottom w:val="single" w:color="2B6CB0" w:sz="6"/>
              <w:right w:val="single" w:color="2B6CB0" w:sz="6"/>
            </w:tcBorders>
            <w:shd w:fill="E8F1F8" w:val="clear"/>
            <w:tcMar>
              <w:top w:type="dxa" w:w="100"/>
              <w:left w:type="dxa" w:w="120"/>
              <w:bottom w:type="dxa" w:w="100"/>
              <w:right w:type="dxa" w:w="120"/>
            </w:tcMar>
          </w:tcPr>
          <w:p>
            <w:pPr>
              <w:spacing w:after="20" w:before="0"/>
            </w:pPr>
            <w:r>
              <w:rPr>
                <w:rFonts w:ascii="Arial" w:cs="Arial" w:eastAsia="Arial" w:hAnsi="Arial"/>
                <w:color w:val="1A1A1A"/>
                <w:sz w:val="18"/>
                <w:szCs w:val="18"/>
              </w:rPr>
              <w:t xml:space="preserve">No gamification or game-world narrative — purely text-based LMS interface. No real code execution environment for programming courses. Agent system not tested in a 2D/3D game loop. Emotion and behavioral ML signals absent. No Deep Knowledge Tracing — relies on simpler KG-based student modeling. Mobile platform not addressed.</w:t>
            </w:r>
          </w:p>
        </w:tc>
      </w:tr>
    </w:tbl>
    <w:p>
      <w:pPr>
        <w:pBdr>
          <w:top w:val="single" w:color="3575B8" w:sz="4" w:space="6"/>
        </w:pBdr>
        <w:spacing w:after="200" w:before="600"/>
      </w:pPr>
      <w:r>
        <w:rPr>
          <w:rFonts w:ascii="Arial" w:cs="Arial" w:eastAsia="Arial" w:hAnsi="Arial"/>
          <w:b/>
          <w:bCs/>
          <w:color w:val="1B3A6B"/>
          <w:sz w:val="28"/>
          <w:szCs w:val="28"/>
        </w:rPr>
        <w:t xml:space="preserve">Top 20 Recent Articles Related to PYTHONIA</w:t>
      </w:r>
    </w:p>
    <w:p>
      <w:pPr>
        <w:spacing w:after="30" w:before="30"/>
        <w:ind w:left="600" w:hanging="600"/>
      </w:pPr>
      <w:r>
        <w:rPr>
          <w:rFonts w:ascii="Arial" w:cs="Arial" w:eastAsia="Arial" w:hAnsi="Arial"/>
          <w:color w:val="1A1A1A"/>
          <w:sz w:val="18"/>
          <w:szCs w:val="18"/>
        </w:rPr>
        <w:t xml:space="preserve">[1]  Z. Li et al., "TutorLLM: Customizing Learning Recommendations with KT and RAG," INTERACT 2025, Springer LNCS, 2025.</w:t>
      </w:r>
    </w:p>
    <w:p>
      <w:pPr>
        <w:spacing w:after="30" w:before="30"/>
        <w:ind w:left="600" w:hanging="600"/>
      </w:pPr>
      <w:r>
        <w:rPr>
          <w:rFonts w:ascii="Arial" w:cs="Arial" w:eastAsia="Arial" w:hAnsi="Arial"/>
          <w:color w:val="1A1A1A"/>
          <w:sz w:val="18"/>
          <w:szCs w:val="18"/>
        </w:rPr>
        <w:t xml:space="preserve">[2]  Z. Liu et al., "LPITutor: An LLM-Based Personalized ITS Using RAG and Prompt Engineering," PeerJ CS, 2025.</w:t>
      </w:r>
    </w:p>
    <w:p>
      <w:pPr>
        <w:spacing w:after="30" w:before="30"/>
        <w:ind w:left="600" w:hanging="600"/>
      </w:pPr>
      <w:r>
        <w:rPr>
          <w:rFonts w:ascii="Arial" w:cs="Arial" w:eastAsia="Arial" w:hAnsi="Arial"/>
          <w:color w:val="1A1A1A"/>
          <w:sz w:val="18"/>
          <w:szCs w:val="18"/>
        </w:rPr>
        <w:t xml:space="preserve">[3]  W. Ge et al., "SRLAgent: Enhancing Self-Regulated Learning Skills through Gamification and LLM Assistance," arXiv:2506.09968, 2025.</w:t>
      </w:r>
    </w:p>
    <w:p>
      <w:pPr>
        <w:spacing w:after="30" w:before="30"/>
        <w:ind w:left="600" w:hanging="600"/>
      </w:pPr>
      <w:r>
        <w:rPr>
          <w:rFonts w:ascii="Arial" w:cs="Arial" w:eastAsia="Arial" w:hAnsi="Arial"/>
          <w:color w:val="1A1A1A"/>
          <w:sz w:val="18"/>
          <w:szCs w:val="18"/>
        </w:rPr>
        <w:t xml:space="preserve">[4]  C. Tong and C. Ren, "Deep KT and Cognitive Load Estimation for Personalized Learning Path Generation," Sci. Rep., 2025.</w:t>
      </w:r>
    </w:p>
    <w:p>
      <w:pPr>
        <w:spacing w:after="30" w:before="30"/>
        <w:ind w:left="600" w:hanging="600"/>
      </w:pPr>
      <w:r>
        <w:rPr>
          <w:rFonts w:ascii="Arial" w:cs="Arial" w:eastAsia="Arial" w:hAnsi="Arial"/>
          <w:color w:val="1A1A1A"/>
          <w:sz w:val="18"/>
          <w:szCs w:val="18"/>
        </w:rPr>
        <w:t xml:space="preserve">[5]  S. Özkaya, S. Berrezueta-Guzman, S. Wagner, "How LLMs Are Shaping the Future of Virtual Reality," IEEE Access, Vol. 13, 2025.</w:t>
      </w:r>
    </w:p>
    <w:p>
      <w:pPr>
        <w:spacing w:after="30" w:before="30"/>
        <w:ind w:left="600" w:hanging="600"/>
      </w:pPr>
      <w:r>
        <w:rPr>
          <w:rFonts w:ascii="Arial" w:cs="Arial" w:eastAsia="Arial" w:hAnsi="Arial"/>
          <w:color w:val="1A1A1A"/>
          <w:sz w:val="18"/>
          <w:szCs w:val="18"/>
        </w:rPr>
        <w:t xml:space="preserve">[6]  K. Ishaq et al., "Level Up Your Coding: A Systematic Review of Personalized, Cognitive &amp; Gamified Learning in Programming Education," PeerJ CS, 2024.</w:t>
      </w:r>
    </w:p>
    <w:p>
      <w:pPr>
        <w:spacing w:after="30" w:before="30"/>
        <w:ind w:left="600" w:hanging="600"/>
      </w:pPr>
      <w:r>
        <w:rPr>
          <w:rFonts w:ascii="Arial" w:cs="Arial" w:eastAsia="Arial" w:hAnsi="Arial"/>
          <w:color w:val="1A1A1A"/>
          <w:sz w:val="18"/>
          <w:szCs w:val="18"/>
        </w:rPr>
        <w:t xml:space="preserve">[7]  X. Wang et al., "LLM Agents for Education: Advances and Applications," arXiv:2503.11733, EMNLP 2025.</w:t>
      </w:r>
    </w:p>
    <w:p>
      <w:pPr>
        <w:spacing w:after="30" w:before="30"/>
        <w:ind w:left="600" w:hanging="600"/>
      </w:pPr>
      <w:r>
        <w:rPr>
          <w:rFonts w:ascii="Arial" w:cs="Arial" w:eastAsia="Arial" w:hAnsi="Arial"/>
          <w:color w:val="1A1A1A"/>
          <w:sz w:val="18"/>
          <w:szCs w:val="18"/>
        </w:rPr>
        <w:t xml:space="preserve">[8]  R. Wilschut et al., "Agentic Knowledge Tracing: A Multi-Agent LLM Architecture for Stealth Assessment in Serious Games," arXiv:2606.25358, 2025.</w:t>
      </w:r>
    </w:p>
    <w:p>
      <w:pPr>
        <w:spacing w:after="30" w:before="30"/>
        <w:ind w:left="600" w:hanging="600"/>
      </w:pPr>
      <w:r>
        <w:rPr>
          <w:rFonts w:ascii="Arial" w:cs="Arial" w:eastAsia="Arial" w:hAnsi="Arial"/>
          <w:color w:val="1A1A1A"/>
          <w:sz w:val="18"/>
          <w:szCs w:val="18"/>
        </w:rPr>
        <w:t xml:space="preserve">[9]  R. V. Muddaluru et al., "Auto-grading C Programming Assignments with CodeBERT and Random Forest Regressor," arXiv:2309.15216, 2024.</w:t>
      </w:r>
    </w:p>
    <w:p>
      <w:pPr>
        <w:spacing w:after="30" w:before="30"/>
        <w:ind w:left="600" w:hanging="600"/>
      </w:pPr>
      <w:r>
        <w:rPr>
          <w:rFonts w:ascii="Arial" w:cs="Arial" w:eastAsia="Arial" w:hAnsi="Arial"/>
          <w:color w:val="1A1A1A"/>
          <w:sz w:val="18"/>
          <w:szCs w:val="18"/>
        </w:rPr>
        <w:t xml:space="preserve">[10] T. Rumble et al., "Learning Engagement Assistant (LEA): Cross-Course Scalability of an Agentic AI Tutoring System," arXiv:2607.13370 / IEEE COINS, 2025.</w:t>
      </w:r>
    </w:p>
    <w:p>
      <w:pPr>
        <w:spacing w:after="30" w:before="30"/>
        <w:ind w:left="600" w:hanging="600"/>
      </w:pPr>
      <w:r>
        <w:rPr>
          <w:rFonts w:ascii="Arial" w:cs="Arial" w:eastAsia="Arial" w:hAnsi="Arial"/>
          <w:color w:val="1A1A1A"/>
          <w:sz w:val="18"/>
          <w:szCs w:val="18"/>
        </w:rPr>
        <w:t xml:space="preserve">[11] F. Xu et al., "DKVMN+MRI: A Deep KT Model Incorporating Multi-Relational Information," PLOS ONE, 2024.</w:t>
      </w:r>
    </w:p>
    <w:p>
      <w:pPr>
        <w:spacing w:after="30" w:before="30"/>
        <w:ind w:left="600" w:hanging="600"/>
      </w:pPr>
      <w:r>
        <w:rPr>
          <w:rFonts w:ascii="Arial" w:cs="Arial" w:eastAsia="Arial" w:hAnsi="Arial"/>
          <w:color w:val="1A1A1A"/>
          <w:sz w:val="18"/>
          <w:szCs w:val="18"/>
        </w:rPr>
        <w:t xml:space="preserve">[12] C. J. Costa, "Integrating LLMs in Gamified Systems: A Mathematical Framework," arXiv:2503.11458, 2025.</w:t>
      </w:r>
    </w:p>
    <w:p>
      <w:pPr>
        <w:spacing w:after="30" w:before="30"/>
        <w:ind w:left="600" w:hanging="600"/>
      </w:pPr>
      <w:r>
        <w:rPr>
          <w:rFonts w:ascii="Arial" w:cs="Arial" w:eastAsia="Arial" w:hAnsi="Arial"/>
          <w:color w:val="1A1A1A"/>
          <w:sz w:val="18"/>
          <w:szCs w:val="18"/>
        </w:rPr>
        <w:t xml:space="preserve">[13] A. Koskinen, A. Lindstedt, K. Kiili, "Game-Based Learning Can Enhance Students' Understanding of AI Ethics," GALA 2024, Springer LNCS, 2025.</w:t>
      </w:r>
    </w:p>
    <w:p>
      <w:pPr>
        <w:spacing w:after="30" w:before="30"/>
        <w:ind w:left="600" w:hanging="600"/>
      </w:pPr>
      <w:r>
        <w:rPr>
          <w:rFonts w:ascii="Arial" w:cs="Arial" w:eastAsia="Arial" w:hAnsi="Arial"/>
          <w:color w:val="1A1A1A"/>
          <w:sz w:val="18"/>
          <w:szCs w:val="18"/>
        </w:rPr>
        <w:t xml:space="preserve">[14] K. Spriggs, M. C. Lau, K. Passi, "Personalizing Education through an Adaptive LMS with Integrated LLMs," arXiv:2502.08655, 2025.</w:t>
      </w:r>
    </w:p>
    <w:p>
      <w:pPr>
        <w:spacing w:after="30" w:before="30"/>
        <w:ind w:left="600" w:hanging="600"/>
      </w:pPr>
      <w:r>
        <w:rPr>
          <w:rFonts w:ascii="Arial" w:cs="Arial" w:eastAsia="Arial" w:hAnsi="Arial"/>
          <w:color w:val="1A1A1A"/>
          <w:sz w:val="18"/>
          <w:szCs w:val="18"/>
        </w:rPr>
        <w:t xml:space="preserve">[15] W. Wang et al., "EduPlanner: LLM-Based Multi-Agent Systems for Customized Instructional Design," IEEE Trans. Learning Technol., 2025.</w:t>
      </w:r>
    </w:p>
    <w:p>
      <w:pPr>
        <w:spacing w:after="30" w:before="30"/>
        <w:ind w:left="600" w:hanging="600"/>
      </w:pPr>
      <w:r>
        <w:rPr>
          <w:rFonts w:ascii="Arial" w:cs="Arial" w:eastAsia="Arial" w:hAnsi="Arial"/>
          <w:color w:val="1A1A1A"/>
          <w:sz w:val="18"/>
          <w:szCs w:val="18"/>
        </w:rPr>
        <w:t xml:space="preserve">[16] J. Hu et al., "WIP: Enhancing Game-Based Learning with AI-Driven Peer Agents (SPARC)," IEEE FIE 2025, arXiv:2508.01169.</w:t>
      </w:r>
    </w:p>
    <w:p>
      <w:pPr>
        <w:spacing w:after="30" w:before="30"/>
        <w:ind w:left="600" w:hanging="600"/>
      </w:pPr>
      <w:r>
        <w:rPr>
          <w:rFonts w:ascii="Arial" w:cs="Arial" w:eastAsia="Arial" w:hAnsi="Arial"/>
          <w:color w:val="1A1A1A"/>
          <w:sz w:val="18"/>
          <w:szCs w:val="18"/>
        </w:rPr>
        <w:t xml:space="preserve">[17] Y. Shao et al., "Evidence-Decision-Feedback: Theory-Driven Adaptive Scaffolding for LLM Agents," arXiv:2602.01415, 2025.</w:t>
      </w:r>
    </w:p>
    <w:p>
      <w:pPr>
        <w:spacing w:after="30" w:before="30"/>
        <w:ind w:left="600" w:hanging="600"/>
      </w:pPr>
      <w:r>
        <w:rPr>
          <w:rFonts w:ascii="Arial" w:cs="Arial" w:eastAsia="Arial" w:hAnsi="Arial"/>
          <w:color w:val="1A1A1A"/>
          <w:sz w:val="18"/>
          <w:szCs w:val="18"/>
        </w:rPr>
        <w:t xml:space="preserve">[18] L. Shi et al., "Denoising Programming Knowledge Tracing with a Code Graph-Based Tuning Adaptor," KDD 2025.</w:t>
      </w:r>
    </w:p>
    <w:p>
      <w:pPr>
        <w:spacing w:after="30" w:before="30"/>
        <w:ind w:left="600" w:hanging="600"/>
      </w:pPr>
      <w:r>
        <w:rPr>
          <w:rFonts w:ascii="Arial" w:cs="Arial" w:eastAsia="Arial" w:hAnsi="Arial"/>
          <w:color w:val="1A1A1A"/>
          <w:sz w:val="18"/>
          <w:szCs w:val="18"/>
        </w:rPr>
        <w:t xml:space="preserve">[19] R. V. Muddaluru et al., "CodeBERTScore: Evaluating Code Generation with Pretrained Models," ICLR Workshop DL4C, 2023/2024.</w:t>
      </w:r>
    </w:p>
    <w:p>
      <w:pPr>
        <w:spacing w:after="30" w:before="30"/>
        <w:ind w:left="600" w:hanging="600"/>
      </w:pPr>
      <w:r>
        <w:rPr>
          <w:rFonts w:ascii="Arial" w:cs="Arial" w:eastAsia="Arial" w:hAnsi="Arial"/>
          <w:color w:val="1A1A1A"/>
          <w:sz w:val="18"/>
          <w:szCs w:val="18"/>
        </w:rPr>
        <w:t xml:space="preserve">[20] M. Zhang et al., "Evolution of AI in Education: Agentic Workflows and Classroom Simulation," arXiv:2504.20082, 2025.</w:t>
      </w:r>
    </w:p>
    <w:sectPr>
      <w:pgSz w:w="12240" w:h="15840" w:orient="landscape"/>
      <w:pgMar w:top="600" w:right="700" w:bottom="6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2026-10-13T05:08:11.033Z</dcterms:created>
  <dcterms:modified xsi:type="dcterms:W3CDTF">2026-10-13T05:08:11.043Z</dcterms:modified>
</cp:coreProperties>
</file>

<file path=docProps/custom.xml><?xml version="1.0" encoding="utf-8"?>
<Properties xmlns="http://schemas.openxmlformats.org/officeDocument/2006/custom-properties" xmlns:vt="http://schemas.openxmlformats.org/officeDocument/2006/docPropsVTypes"/>
</file>