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0"/>
        <w:jc w:val="center"/>
      </w:pPr>
      <w:r>
        <w:rPr>
          <w:rFonts w:ascii="Arial" w:cs="Arial" w:eastAsia="Arial" w:hAnsi="Arial"/>
          <w:b/>
          <w:bCs/>
          <w:color w:val="2E75B6"/>
          <w:sz w:val="28"/>
          <w:szCs w:val="28"/>
        </w:rPr>
        <w:t xml:space="preserve">PYTHONIA — Literature Review Table</w:t>
      </w:r>
    </w:p>
    <w:tbl>
      <w:tblPr>
        <w:tblW w:type="dxa" w:w="1350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3200"/>
        <w:gridCol w:w="3600"/>
        <w:gridCol w:w="3600"/>
      </w:tblGrid>
      <w:tr>
        <w:trPr>
          <w:tblHeader/>
        </w:trPr>
        <w:tc>
          <w:tcPr>
            <w:tcBorders>
              <w:top w:val="single" w:color="FFFFFF" w:sz="4"/>
              <w:left w:val="single" w:color="FFFFFF" w:sz="4"/>
              <w:bottom w:val="single" w:color="FFFFFF" w:sz="4"/>
              <w:right w:val="single" w:color="FFFFFF" w:sz="4"/>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 No.</w:t>
            </w:r>
          </w:p>
        </w:tc>
        <w:tc>
          <w:tcPr>
            <w:tcBorders>
              <w:top w:val="single" w:color="FFFFFF" w:sz="4"/>
              <w:left w:val="single" w:color="FFFFFF" w:sz="4"/>
              <w:bottom w:val="single" w:color="FFFFFF" w:sz="4"/>
              <w:right w:val="single" w:color="FFFFFF" w:sz="4"/>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Title of the Article
Author Year of publication</w:t>
            </w:r>
          </w:p>
        </w:tc>
        <w:tc>
          <w:tcPr>
            <w:tcBorders>
              <w:top w:val="single" w:color="FFFFFF" w:sz="4"/>
              <w:left w:val="single" w:color="FFFFFF" w:sz="4"/>
              <w:bottom w:val="single" w:color="FFFFFF" w:sz="4"/>
              <w:right w:val="single" w:color="FFFFFF" w:sz="4"/>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Focus of Study, Design, Objectives, Method used and Sample size</w:t>
            </w:r>
          </w:p>
        </w:tc>
        <w:tc>
          <w:tcPr>
            <w:tcBorders>
              <w:top w:val="single" w:color="FFFFFF" w:sz="4"/>
              <w:left w:val="single" w:color="FFFFFF" w:sz="4"/>
              <w:bottom w:val="single" w:color="FFFFFF" w:sz="4"/>
              <w:right w:val="single" w:color="FFFFFF" w:sz="4"/>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Findings of the study and their conclusions</w:t>
            </w:r>
          </w:p>
        </w:tc>
        <w:tc>
          <w:tcPr>
            <w:tcBorders>
              <w:top w:val="single" w:color="FFFFFF" w:sz="4"/>
              <w:left w:val="single" w:color="FFFFFF" w:sz="4"/>
              <w:bottom w:val="single" w:color="FFFFFF" w:sz="4"/>
              <w:right w:val="single" w:color="FFFFFF" w:sz="4"/>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Remarks of the Scholar on limitations</w:t>
            </w:r>
          </w:p>
        </w:tc>
      </w:tr>
      <w:tr>
        <w:tc>
          <w:tcPr>
            <w:tcBorders>
              <w:top w:val="single" w:color="AACCDD" w:sz="2"/>
              <w:left w:val="single" w:color="AACCDD" w:sz="2"/>
              <w:bottom w:val="single" w:color="AACCDD" w:sz="2"/>
              <w:right w:val="single" w:color="AACCDD" w:sz="2"/>
            </w:tcBorders>
            <w:shd w:fill="DAEEF3" w:val="clear"/>
            <w:tcMar>
              <w:top w:type="dxa" w:w="80"/>
              <w:left w:type="dxa" w:w="120"/>
              <w:bottom w:type="dxa" w:w="80"/>
              <w:right w:type="dxa" w:w="120"/>
            </w:tcMar>
            <w:vAlign w:val="top"/>
          </w:tcPr>
          <w:p>
            <w:r>
              <w:rPr>
                <w:rFonts w:ascii="Arial" w:cs="Arial" w:eastAsia="Arial" w:hAnsi="Arial"/>
                <w:b/>
                <w:bCs/>
                <w:sz w:val="19"/>
                <w:szCs w:val="19"/>
              </w:rPr>
              <w:t xml:space="preserve">1</w:t>
            </w:r>
          </w:p>
        </w:tc>
        <w:tc>
          <w:tcPr>
            <w:tcBorders>
              <w:top w:val="single" w:color="AACCDD" w:sz="2"/>
              <w:left w:val="single" w:color="AACCDD" w:sz="2"/>
              <w:bottom w:val="single" w:color="AACCDD" w:sz="2"/>
              <w:right w:val="single" w:color="AACCDD" w:sz="2"/>
            </w:tcBorders>
            <w:shd w:fill="DAEEF3" w:val="clear"/>
            <w:tcMar>
              <w:top w:type="dxa" w:w="80"/>
              <w:left w:type="dxa" w:w="120"/>
              <w:bottom w:type="dxa" w:w="80"/>
              <w:right w:type="dxa" w:w="120"/>
            </w:tcMar>
            <w:vAlign w:val="top"/>
          </w:tcPr>
          <w:p>
            <w:r>
              <w:rPr>
                <w:rFonts w:ascii="Arial" w:cs="Arial" w:eastAsia="Arial" w:hAnsi="Arial"/>
                <w:b w:val="false"/>
                <w:bCs w:val="false"/>
                <w:sz w:val="19"/>
                <w:szCs w:val="19"/>
              </w:rPr>
              <w:t xml:space="preserve">TutorLLM: Customizing Learning Recommendations with Knowledge Tracing and Retrieval-Augmented Generation
Li et al.
2025</w:t>
            </w:r>
          </w:p>
        </w:tc>
        <w:tc>
          <w:tcPr>
            <w:tcBorders>
              <w:top w:val="single" w:color="AACCDD" w:sz="2"/>
              <w:left w:val="single" w:color="AACCDD" w:sz="2"/>
              <w:bottom w:val="single" w:color="AACCDD" w:sz="2"/>
              <w:right w:val="single" w:color="AACCDD" w:sz="2"/>
            </w:tcBorders>
            <w:shd w:fill="DAEEF3" w:val="clear"/>
            <w:tcMar>
              <w:top w:type="dxa" w:w="80"/>
              <w:left w:type="dxa" w:w="120"/>
              <w:bottom w:type="dxa" w:w="80"/>
              <w:right w:type="dxa" w:w="120"/>
            </w:tcMar>
            <w:vAlign w:val="top"/>
          </w:tcPr>
          <w:p>
            <w:r>
              <w:rPr>
                <w:rFonts w:ascii="Arial" w:cs="Arial" w:eastAsia="Arial" w:hAnsi="Arial"/>
                <w:b w:val="false"/>
                <w:bCs w:val="false"/>
                <w:sz w:val="19"/>
                <w:szCs w:val="19"/>
              </w:rPr>
              <w:t xml:space="preserve">Focus: Integrating Knowledge Tracing with RAG for personalized learning recommendations.
Design: System architecture combining LLM + KT + RAG pipeline.
Objective: Customize learning paths based on student knowledge state.
Method: RAG retrieval from educational content + knowledge tracing model.
Sample: Evaluated on student interaction datasets in educational settings.</w:t>
            </w:r>
          </w:p>
        </w:tc>
        <w:tc>
          <w:tcPr>
            <w:tcBorders>
              <w:top w:val="single" w:color="AACCDD" w:sz="2"/>
              <w:left w:val="single" w:color="AACCDD" w:sz="2"/>
              <w:bottom w:val="single" w:color="AACCDD" w:sz="2"/>
              <w:right w:val="single" w:color="AACCDD" w:sz="2"/>
            </w:tcBorders>
            <w:shd w:fill="DAEEF3" w:val="clear"/>
            <w:tcMar>
              <w:top w:type="dxa" w:w="80"/>
              <w:left w:type="dxa" w:w="120"/>
              <w:bottom w:type="dxa" w:w="80"/>
              <w:right w:type="dxa" w:w="120"/>
            </w:tcMar>
            <w:vAlign w:val="top"/>
          </w:tcPr>
          <w:p>
            <w:r>
              <w:rPr>
                <w:rFonts w:ascii="Arial" w:cs="Arial" w:eastAsia="Arial" w:hAnsi="Arial"/>
                <w:b w:val="false"/>
                <w:bCs w:val="false"/>
                <w:sz w:val="19"/>
                <w:szCs w:val="19"/>
              </w:rPr>
              <w:t xml:space="preserve">TutorLLM demonstrated that combining Knowledge Tracing with RAG significantly improved the relevance and personalization of learning recommendations compared to standalone LLMs. The system successfully retrieved context-aware learning materials aligned with individual student mastery levels. Conclusion: RAG + KT integration is more effective than either approach alone for adaptive tutoring.</w:t>
            </w:r>
          </w:p>
        </w:tc>
        <w:tc>
          <w:tcPr>
            <w:tcBorders>
              <w:top w:val="single" w:color="AACCDD" w:sz="2"/>
              <w:left w:val="single" w:color="AACCDD" w:sz="2"/>
              <w:bottom w:val="single" w:color="AACCDD" w:sz="2"/>
              <w:right w:val="single" w:color="AACCDD" w:sz="2"/>
            </w:tcBorders>
            <w:shd w:fill="DAEEF3" w:val="clear"/>
            <w:tcMar>
              <w:top w:type="dxa" w:w="80"/>
              <w:left w:type="dxa" w:w="120"/>
              <w:bottom w:type="dxa" w:w="80"/>
              <w:right w:type="dxa" w:w="120"/>
            </w:tcMar>
            <w:vAlign w:val="top"/>
          </w:tcPr>
          <w:p>
            <w:r>
              <w:rPr>
                <w:rFonts w:ascii="Arial" w:cs="Arial" w:eastAsia="Arial" w:hAnsi="Arial"/>
                <w:b w:val="false"/>
                <w:bCs w:val="false"/>
                <w:sz w:val="19"/>
                <w:szCs w:val="19"/>
              </w:rPr>
              <w:t xml:space="preserve">Limitation: Tested primarily in text-based tutoring contexts; no game-based environment. Relevance to PYTHONIA: Directly informs the RAG Knowledge Base (ChromaDB + LangChain) and DKT integration within the Game Master Agent. Gap addressed: PYTHONIA extends this by embedding KT + RAG inside a live coding game loop.</w:t>
            </w:r>
          </w:p>
        </w:tc>
      </w:tr>
      <w:tr>
        <w:tc>
          <w:tcPr>
            <w:tcBorders>
              <w:top w:val="single" w:color="AACCDD" w:sz="2"/>
              <w:left w:val="single" w:color="AACCDD" w:sz="2"/>
              <w:bottom w:val="single" w:color="AACCDD" w:sz="2"/>
              <w:right w:val="single" w:color="AACCDD" w:sz="2"/>
            </w:tcBorders>
            <w:shd w:fill="EBF4F9" w:val="clear"/>
            <w:tcMar>
              <w:top w:type="dxa" w:w="80"/>
              <w:left w:type="dxa" w:w="120"/>
              <w:bottom w:type="dxa" w:w="80"/>
              <w:right w:type="dxa" w:w="120"/>
            </w:tcMar>
            <w:vAlign w:val="top"/>
          </w:tcPr>
          <w:p>
            <w:r>
              <w:rPr>
                <w:rFonts w:ascii="Arial" w:cs="Arial" w:eastAsia="Arial" w:hAnsi="Arial"/>
                <w:b/>
                <w:bCs/>
                <w:sz w:val="19"/>
                <w:szCs w:val="19"/>
              </w:rPr>
              <w:t xml:space="preserve">2</w:t>
            </w:r>
          </w:p>
        </w:tc>
        <w:tc>
          <w:tcPr>
            <w:tcBorders>
              <w:top w:val="single" w:color="AACCDD" w:sz="2"/>
              <w:left w:val="single" w:color="AACCDD" w:sz="2"/>
              <w:bottom w:val="single" w:color="AACCDD" w:sz="2"/>
              <w:right w:val="single" w:color="AACCDD" w:sz="2"/>
            </w:tcBorders>
            <w:shd w:fill="EBF4F9" w:val="clear"/>
            <w:tcMar>
              <w:top w:type="dxa" w:w="80"/>
              <w:left w:type="dxa" w:w="120"/>
              <w:bottom w:type="dxa" w:w="80"/>
              <w:right w:type="dxa" w:w="120"/>
            </w:tcMar>
            <w:vAlign w:val="top"/>
          </w:tcPr>
          <w:p>
            <w:r>
              <w:rPr>
                <w:rFonts w:ascii="Arial" w:cs="Arial" w:eastAsia="Arial" w:hAnsi="Arial"/>
                <w:b w:val="false"/>
                <w:bCs w:val="false"/>
                <w:sz w:val="19"/>
                <w:szCs w:val="19"/>
              </w:rPr>
              <w:t xml:space="preserve">LPITutor: An LLM Based Personalized Intelligent Tutoring System Using RAG and Prompt Engineering
Liu et al.
2025</w:t>
            </w:r>
          </w:p>
        </w:tc>
        <w:tc>
          <w:tcPr>
            <w:tcBorders>
              <w:top w:val="single" w:color="AACCDD" w:sz="2"/>
              <w:left w:val="single" w:color="AACCDD" w:sz="2"/>
              <w:bottom w:val="single" w:color="AACCDD" w:sz="2"/>
              <w:right w:val="single" w:color="AACCDD" w:sz="2"/>
            </w:tcBorders>
            <w:shd w:fill="EBF4F9" w:val="clear"/>
            <w:tcMar>
              <w:top w:type="dxa" w:w="80"/>
              <w:left w:type="dxa" w:w="120"/>
              <w:bottom w:type="dxa" w:w="80"/>
              <w:right w:type="dxa" w:w="120"/>
            </w:tcMar>
            <w:vAlign w:val="top"/>
          </w:tcPr>
          <w:p>
            <w:r>
              <w:rPr>
                <w:rFonts w:ascii="Arial" w:cs="Arial" w:eastAsia="Arial" w:hAnsi="Arial"/>
                <w:b w:val="false"/>
                <w:bCs w:val="false"/>
                <w:sz w:val="19"/>
                <w:szCs w:val="19"/>
              </w:rPr>
              <w:t xml:space="preserve">Focus: Building a personalized ITS using LLMs with RAG and structured prompt engineering.
Design: Pipeline system with retrieval-augmented generation and prompt templates.
Objective: Improve personalization in intelligent tutoring for programming concepts.
Method: RAG over course materials + few-shot prompt engineering.
Sample: Evaluated in a university programming course setting.</w:t>
            </w:r>
          </w:p>
        </w:tc>
        <w:tc>
          <w:tcPr>
            <w:tcBorders>
              <w:top w:val="single" w:color="AACCDD" w:sz="2"/>
              <w:left w:val="single" w:color="AACCDD" w:sz="2"/>
              <w:bottom w:val="single" w:color="AACCDD" w:sz="2"/>
              <w:right w:val="single" w:color="AACCDD" w:sz="2"/>
            </w:tcBorders>
            <w:shd w:fill="EBF4F9" w:val="clear"/>
            <w:tcMar>
              <w:top w:type="dxa" w:w="80"/>
              <w:left w:type="dxa" w:w="120"/>
              <w:bottom w:type="dxa" w:w="80"/>
              <w:right w:type="dxa" w:w="120"/>
            </w:tcMar>
            <w:vAlign w:val="top"/>
          </w:tcPr>
          <w:p>
            <w:r>
              <w:rPr>
                <w:rFonts w:ascii="Arial" w:cs="Arial" w:eastAsia="Arial" w:hAnsi="Arial"/>
                <w:b w:val="false"/>
                <w:bCs w:val="false"/>
                <w:sz w:val="19"/>
                <w:szCs w:val="19"/>
              </w:rPr>
              <w:t xml:space="preserve">LPITutor showed that prompt engineering combined with RAG substantially reduced LLM hallucinations and improved the accuracy of tutoring responses. Personalized hints generated through structured prompts were better received by students than generic LLM outputs. Conclusion: Structured RAG + prompt engineering is a reliable foundation for programming-domain ITS.</w:t>
            </w:r>
          </w:p>
        </w:tc>
        <w:tc>
          <w:tcPr>
            <w:tcBorders>
              <w:top w:val="single" w:color="AACCDD" w:sz="2"/>
              <w:left w:val="single" w:color="AACCDD" w:sz="2"/>
              <w:bottom w:val="single" w:color="AACCDD" w:sz="2"/>
              <w:right w:val="single" w:color="AACCDD" w:sz="2"/>
            </w:tcBorders>
            <w:shd w:fill="EBF4F9" w:val="clear"/>
            <w:tcMar>
              <w:top w:type="dxa" w:w="80"/>
              <w:left w:type="dxa" w:w="120"/>
              <w:bottom w:type="dxa" w:w="80"/>
              <w:right w:type="dxa" w:w="120"/>
            </w:tcMar>
            <w:vAlign w:val="top"/>
          </w:tcPr>
          <w:p>
            <w:r>
              <w:rPr>
                <w:rFonts w:ascii="Arial" w:cs="Arial" w:eastAsia="Arial" w:hAnsi="Arial"/>
                <w:b w:val="false"/>
                <w:bCs w:val="false"/>
                <w:sz w:val="19"/>
                <w:szCs w:val="19"/>
              </w:rPr>
              <w:t xml:space="preserve">Limitation: Limited to Q&amp;A format; no real-time code execution feedback. Relevance to PYTHONIA: Validates PYTHONIA's RAG pipeline design (Python docs + PEPs in ChromaDB) and the Hint Agent's Socratic prompt strategy. Gap addressed: PYTHONIA adds live Pyodide execution feedback as input to the hint generation chain.</w:t>
            </w:r>
          </w:p>
        </w:tc>
      </w:tr>
      <w:tr>
        <w:tc>
          <w:tcPr>
            <w:tcBorders>
              <w:top w:val="single" w:color="AACCDD" w:sz="2"/>
              <w:left w:val="single" w:color="AACCDD" w:sz="2"/>
              <w:bottom w:val="single" w:color="AACCDD" w:sz="2"/>
              <w:right w:val="single" w:color="AACCDD" w:sz="2"/>
            </w:tcBorders>
            <w:shd w:fill="DAEEF3" w:val="clear"/>
            <w:tcMar>
              <w:top w:type="dxa" w:w="80"/>
              <w:left w:type="dxa" w:w="120"/>
              <w:bottom w:type="dxa" w:w="80"/>
              <w:right w:type="dxa" w:w="120"/>
            </w:tcMar>
            <w:vAlign w:val="top"/>
          </w:tcPr>
          <w:p>
            <w:r>
              <w:rPr>
                <w:rFonts w:ascii="Arial" w:cs="Arial" w:eastAsia="Arial" w:hAnsi="Arial"/>
                <w:b/>
                <w:bCs/>
                <w:sz w:val="19"/>
                <w:szCs w:val="19"/>
              </w:rPr>
              <w:t xml:space="preserve">3</w:t>
            </w:r>
          </w:p>
        </w:tc>
        <w:tc>
          <w:tcPr>
            <w:tcBorders>
              <w:top w:val="single" w:color="AACCDD" w:sz="2"/>
              <w:left w:val="single" w:color="AACCDD" w:sz="2"/>
              <w:bottom w:val="single" w:color="AACCDD" w:sz="2"/>
              <w:right w:val="single" w:color="AACCDD" w:sz="2"/>
            </w:tcBorders>
            <w:shd w:fill="DAEEF3" w:val="clear"/>
            <w:tcMar>
              <w:top w:type="dxa" w:w="80"/>
              <w:left w:type="dxa" w:w="120"/>
              <w:bottom w:type="dxa" w:w="80"/>
              <w:right w:type="dxa" w:w="120"/>
            </w:tcMar>
            <w:vAlign w:val="top"/>
          </w:tcPr>
          <w:p>
            <w:r>
              <w:rPr>
                <w:rFonts w:ascii="Arial" w:cs="Arial" w:eastAsia="Arial" w:hAnsi="Arial"/>
                <w:b w:val="false"/>
                <w:bCs w:val="false"/>
                <w:sz w:val="19"/>
                <w:szCs w:val="19"/>
              </w:rPr>
              <w:t xml:space="preserve">Deep Knowledge Tracing and Cognitive Load Estimation for Personalized Learning Path Generation
Tong &amp; Ren
2025</w:t>
            </w:r>
          </w:p>
        </w:tc>
        <w:tc>
          <w:tcPr>
            <w:tcBorders>
              <w:top w:val="single" w:color="AACCDD" w:sz="2"/>
              <w:left w:val="single" w:color="AACCDD" w:sz="2"/>
              <w:bottom w:val="single" w:color="AACCDD" w:sz="2"/>
              <w:right w:val="single" w:color="AACCDD" w:sz="2"/>
            </w:tcBorders>
            <w:shd w:fill="DAEEF3" w:val="clear"/>
            <w:tcMar>
              <w:top w:type="dxa" w:w="80"/>
              <w:left w:type="dxa" w:w="120"/>
              <w:bottom w:type="dxa" w:w="80"/>
              <w:right w:type="dxa" w:w="120"/>
            </w:tcMar>
            <w:vAlign w:val="top"/>
          </w:tcPr>
          <w:p>
            <w:r>
              <w:rPr>
                <w:rFonts w:ascii="Arial" w:cs="Arial" w:eastAsia="Arial" w:hAnsi="Arial"/>
                <w:b w:val="false"/>
                <w:bCs w:val="false"/>
                <w:sz w:val="19"/>
                <w:szCs w:val="19"/>
              </w:rPr>
              <w:t xml:space="preserve">Focus: Using DKT enhanced with cognitive load estimation for adaptive learning path generation.
Design: Neural network architecture combining LSTM-based DKT with cognitive load signals.
Objective: Generate personalized learning paths that reduce cognitive overload.
Method: LSTM DKT trained on student interaction sequences; cognitive load features extracted from response time and error patterns.
Sample: 500+ students across online STEM learning platforms.</w:t>
            </w:r>
          </w:p>
        </w:tc>
        <w:tc>
          <w:tcPr>
            <w:tcBorders>
              <w:top w:val="single" w:color="AACCDD" w:sz="2"/>
              <w:left w:val="single" w:color="AACCDD" w:sz="2"/>
              <w:bottom w:val="single" w:color="AACCDD" w:sz="2"/>
              <w:right w:val="single" w:color="AACCDD" w:sz="2"/>
            </w:tcBorders>
            <w:shd w:fill="DAEEF3" w:val="clear"/>
            <w:tcMar>
              <w:top w:type="dxa" w:w="80"/>
              <w:left w:type="dxa" w:w="120"/>
              <w:bottom w:type="dxa" w:w="80"/>
              <w:right w:type="dxa" w:w="120"/>
            </w:tcMar>
            <w:vAlign w:val="top"/>
          </w:tcPr>
          <w:p>
            <w:r>
              <w:rPr>
                <w:rFonts w:ascii="Arial" w:cs="Arial" w:eastAsia="Arial" w:hAnsi="Arial"/>
                <w:b w:val="false"/>
                <w:bCs w:val="false"/>
                <w:sz w:val="19"/>
                <w:szCs w:val="19"/>
              </w:rPr>
              <w:t xml:space="preserve">The combined DKT + cognitive load model outperformed standalone DKT models in predicting concept mastery and recommending next learning steps. The system reduced time-to-mastery by 18% compared to fixed curriculum paths. Conclusion: Cognitive load features are a valuable supplement to DKT for learning path personalization.</w:t>
            </w:r>
          </w:p>
        </w:tc>
        <w:tc>
          <w:tcPr>
            <w:tcBorders>
              <w:top w:val="single" w:color="AACCDD" w:sz="2"/>
              <w:left w:val="single" w:color="AACCDD" w:sz="2"/>
              <w:bottom w:val="single" w:color="AACCDD" w:sz="2"/>
              <w:right w:val="single" w:color="AACCDD" w:sz="2"/>
            </w:tcBorders>
            <w:shd w:fill="DAEEF3" w:val="clear"/>
            <w:tcMar>
              <w:top w:type="dxa" w:w="80"/>
              <w:left w:type="dxa" w:w="120"/>
              <w:bottom w:type="dxa" w:w="80"/>
              <w:right w:type="dxa" w:w="120"/>
            </w:tcMar>
            <w:vAlign w:val="top"/>
          </w:tcPr>
          <w:p>
            <w:r>
              <w:rPr>
                <w:rFonts w:ascii="Arial" w:cs="Arial" w:eastAsia="Arial" w:hAnsi="Arial"/>
                <w:b w:val="false"/>
                <w:bCs w:val="false"/>
                <w:sz w:val="19"/>
                <w:szCs w:val="19"/>
              </w:rPr>
              <w:t xml:space="preserve">Limitation: Cognitive load estimation depends on self-report or indirect signals; webcam-based affect sensing not included. Relevance to PYTHONIA: Directly informs the DKT module (PyTorch LSTM/Transformer) and the Game Master Agent's mission selection logic. Gap addressed: PYTHONIA uses code submission patterns (error types, hint frequency, retry count) as cognitive load proxies within the game.</w:t>
            </w:r>
          </w:p>
        </w:tc>
      </w:tr>
      <w:tr>
        <w:tc>
          <w:tcPr>
            <w:tcBorders>
              <w:top w:val="single" w:color="AACCDD" w:sz="2"/>
              <w:left w:val="single" w:color="AACCDD" w:sz="2"/>
              <w:bottom w:val="single" w:color="AACCDD" w:sz="2"/>
              <w:right w:val="single" w:color="AACCDD" w:sz="2"/>
            </w:tcBorders>
            <w:shd w:fill="EBF4F9" w:val="clear"/>
            <w:tcMar>
              <w:top w:type="dxa" w:w="80"/>
              <w:left w:type="dxa" w:w="120"/>
              <w:bottom w:type="dxa" w:w="80"/>
              <w:right w:type="dxa" w:w="120"/>
            </w:tcMar>
            <w:vAlign w:val="top"/>
          </w:tcPr>
          <w:p>
            <w:r>
              <w:rPr>
                <w:rFonts w:ascii="Arial" w:cs="Arial" w:eastAsia="Arial" w:hAnsi="Arial"/>
                <w:b/>
                <w:bCs/>
                <w:sz w:val="19"/>
                <w:szCs w:val="19"/>
              </w:rPr>
              <w:t xml:space="preserve">4</w:t>
            </w:r>
          </w:p>
        </w:tc>
        <w:tc>
          <w:tcPr>
            <w:tcBorders>
              <w:top w:val="single" w:color="AACCDD" w:sz="2"/>
              <w:left w:val="single" w:color="AACCDD" w:sz="2"/>
              <w:bottom w:val="single" w:color="AACCDD" w:sz="2"/>
              <w:right w:val="single" w:color="AACCDD" w:sz="2"/>
            </w:tcBorders>
            <w:shd w:fill="EBF4F9" w:val="clear"/>
            <w:tcMar>
              <w:top w:type="dxa" w:w="80"/>
              <w:left w:type="dxa" w:w="120"/>
              <w:bottom w:type="dxa" w:w="80"/>
              <w:right w:type="dxa" w:w="120"/>
            </w:tcMar>
            <w:vAlign w:val="top"/>
          </w:tcPr>
          <w:p>
            <w:r>
              <w:rPr>
                <w:rFonts w:ascii="Arial" w:cs="Arial" w:eastAsia="Arial" w:hAnsi="Arial"/>
                <w:b w:val="false"/>
                <w:bCs w:val="false"/>
                <w:sz w:val="19"/>
                <w:szCs w:val="19"/>
              </w:rPr>
              <w:t xml:space="preserve">SRLAgent: Enhancing Self-Regulated Learning Skills through Gamification and LLM Assistance
Ge et al.
2025</w:t>
            </w:r>
          </w:p>
        </w:tc>
        <w:tc>
          <w:tcPr>
            <w:tcBorders>
              <w:top w:val="single" w:color="AACCDD" w:sz="2"/>
              <w:left w:val="single" w:color="AACCDD" w:sz="2"/>
              <w:bottom w:val="single" w:color="AACCDD" w:sz="2"/>
              <w:right w:val="single" w:color="AACCDD" w:sz="2"/>
            </w:tcBorders>
            <w:shd w:fill="EBF4F9" w:val="clear"/>
            <w:tcMar>
              <w:top w:type="dxa" w:w="80"/>
              <w:left w:type="dxa" w:w="120"/>
              <w:bottom w:type="dxa" w:w="80"/>
              <w:right w:type="dxa" w:w="120"/>
            </w:tcMar>
            <w:vAlign w:val="top"/>
          </w:tcPr>
          <w:p>
            <w:r>
              <w:rPr>
                <w:rFonts w:ascii="Arial" w:cs="Arial" w:eastAsia="Arial" w:hAnsi="Arial"/>
                <w:b w:val="false"/>
                <w:bCs w:val="false"/>
                <w:sz w:val="19"/>
                <w:szCs w:val="19"/>
              </w:rPr>
              <w:t xml:space="preserve">Focus: Using LLM-powered agents to develop self-regulated learning (SRL) skills within gamified environments.
Design: Agent-based system providing goal-setting, monitoring, and reflection support within a gamified course.
Objective: Improve student SRL competencies (planning, monitoring, self-evaluation).
Method: LLM agent interventions triggered by student behavior patterns; gamification elements (points, badges, missions).
Sample: College students in a blended learning environment.</w:t>
            </w:r>
          </w:p>
        </w:tc>
        <w:tc>
          <w:tcPr>
            <w:tcBorders>
              <w:top w:val="single" w:color="AACCDD" w:sz="2"/>
              <w:left w:val="single" w:color="AACCDD" w:sz="2"/>
              <w:bottom w:val="single" w:color="AACCDD" w:sz="2"/>
              <w:right w:val="single" w:color="AACCDD" w:sz="2"/>
            </w:tcBorders>
            <w:shd w:fill="EBF4F9" w:val="clear"/>
            <w:tcMar>
              <w:top w:type="dxa" w:w="80"/>
              <w:left w:type="dxa" w:w="120"/>
              <w:bottom w:type="dxa" w:w="80"/>
              <w:right w:type="dxa" w:w="120"/>
            </w:tcMar>
            <w:vAlign w:val="top"/>
          </w:tcPr>
          <w:p>
            <w:r>
              <w:rPr>
                <w:rFonts w:ascii="Arial" w:cs="Arial" w:eastAsia="Arial" w:hAnsi="Arial"/>
                <w:b w:val="false"/>
                <w:bCs w:val="false"/>
                <w:sz w:val="19"/>
                <w:szCs w:val="19"/>
              </w:rPr>
              <w:t xml:space="preserve">Students using SRLAgent demonstrated significantly higher SRL skill scores compared to control groups using traditional tools. Gamification combined with LLM feedback increased task persistence and goal-setting frequency. Conclusion: LLM-assisted gamification is effective for fostering independent learning behaviors.</w:t>
            </w:r>
          </w:p>
        </w:tc>
        <w:tc>
          <w:tcPr>
            <w:tcBorders>
              <w:top w:val="single" w:color="AACCDD" w:sz="2"/>
              <w:left w:val="single" w:color="AACCDD" w:sz="2"/>
              <w:bottom w:val="single" w:color="AACCDD" w:sz="2"/>
              <w:right w:val="single" w:color="AACCDD" w:sz="2"/>
            </w:tcBorders>
            <w:shd w:fill="EBF4F9" w:val="clear"/>
            <w:tcMar>
              <w:top w:type="dxa" w:w="80"/>
              <w:left w:type="dxa" w:w="120"/>
              <w:bottom w:type="dxa" w:w="80"/>
              <w:right w:type="dxa" w:w="120"/>
            </w:tcMar>
            <w:vAlign w:val="top"/>
          </w:tcPr>
          <w:p>
            <w:r>
              <w:rPr>
                <w:rFonts w:ascii="Arial" w:cs="Arial" w:eastAsia="Arial" w:hAnsi="Arial"/>
                <w:b w:val="false"/>
                <w:bCs w:val="false"/>
                <w:sz w:val="19"/>
                <w:szCs w:val="19"/>
              </w:rPr>
              <w:t xml:space="preserve">Limitation: Gamification was layered onto existing course structure, not a purpose-built game world. Relevance to PYTHONIA: Validates the XP system, skill tree, and mission structure in PYTHONIA for promoting SRL. Gap addressed: PYTHONIA builds SRL into the core game narrative (players choose missions, track mastery via radar chart), not as an add-on overlay.</w:t>
            </w:r>
          </w:p>
        </w:tc>
      </w:tr>
      <w:tr>
        <w:tc>
          <w:tcPr>
            <w:tcBorders>
              <w:top w:val="single" w:color="AACCDD" w:sz="2"/>
              <w:left w:val="single" w:color="AACCDD" w:sz="2"/>
              <w:bottom w:val="single" w:color="AACCDD" w:sz="2"/>
              <w:right w:val="single" w:color="AACCDD" w:sz="2"/>
            </w:tcBorders>
            <w:shd w:fill="DAEEF3" w:val="clear"/>
            <w:tcMar>
              <w:top w:type="dxa" w:w="80"/>
              <w:left w:type="dxa" w:w="120"/>
              <w:bottom w:type="dxa" w:w="80"/>
              <w:right w:type="dxa" w:w="120"/>
            </w:tcMar>
            <w:vAlign w:val="top"/>
          </w:tcPr>
          <w:p>
            <w:r>
              <w:rPr>
                <w:rFonts w:ascii="Arial" w:cs="Arial" w:eastAsia="Arial" w:hAnsi="Arial"/>
                <w:b/>
                <w:bCs/>
                <w:sz w:val="19"/>
                <w:szCs w:val="19"/>
              </w:rPr>
              <w:t xml:space="preserve">5</w:t>
            </w:r>
          </w:p>
        </w:tc>
        <w:tc>
          <w:tcPr>
            <w:tcBorders>
              <w:top w:val="single" w:color="AACCDD" w:sz="2"/>
              <w:left w:val="single" w:color="AACCDD" w:sz="2"/>
              <w:bottom w:val="single" w:color="AACCDD" w:sz="2"/>
              <w:right w:val="single" w:color="AACCDD" w:sz="2"/>
            </w:tcBorders>
            <w:shd w:fill="DAEEF3" w:val="clear"/>
            <w:tcMar>
              <w:top w:type="dxa" w:w="80"/>
              <w:left w:type="dxa" w:w="120"/>
              <w:bottom w:type="dxa" w:w="80"/>
              <w:right w:type="dxa" w:w="120"/>
            </w:tcMar>
            <w:vAlign w:val="top"/>
          </w:tcPr>
          <w:p>
            <w:r>
              <w:rPr>
                <w:rFonts w:ascii="Arial" w:cs="Arial" w:eastAsia="Arial" w:hAnsi="Arial"/>
                <w:b w:val="false"/>
                <w:bCs w:val="false"/>
                <w:sz w:val="19"/>
                <w:szCs w:val="19"/>
              </w:rPr>
              <w:t xml:space="preserve">Level Up Your Coding: A Systematic Review of Personalized, Cognitive, and Gamified Learning in Programming Education
Ishaq et al.
2024</w:t>
            </w:r>
          </w:p>
        </w:tc>
        <w:tc>
          <w:tcPr>
            <w:tcBorders>
              <w:top w:val="single" w:color="AACCDD" w:sz="2"/>
              <w:left w:val="single" w:color="AACCDD" w:sz="2"/>
              <w:bottom w:val="single" w:color="AACCDD" w:sz="2"/>
              <w:right w:val="single" w:color="AACCDD" w:sz="2"/>
            </w:tcBorders>
            <w:shd w:fill="DAEEF3" w:val="clear"/>
            <w:tcMar>
              <w:top w:type="dxa" w:w="80"/>
              <w:left w:type="dxa" w:w="120"/>
              <w:bottom w:type="dxa" w:w="80"/>
              <w:right w:type="dxa" w:w="120"/>
            </w:tcMar>
            <w:vAlign w:val="top"/>
          </w:tcPr>
          <w:p>
            <w:r>
              <w:rPr>
                <w:rFonts w:ascii="Arial" w:cs="Arial" w:eastAsia="Arial" w:hAnsi="Arial"/>
                <w:b w:val="false"/>
                <w:bCs w:val="false"/>
                <w:sz w:val="19"/>
                <w:szCs w:val="19"/>
              </w:rPr>
              <w:t xml:space="preserve">Focus: Systematic literature review of personalization, cognitive science, and gamification in programming education.
Design: PRISMA systematic review of 60+ papers from 2015–2024.
Objective: Identify effective design patterns and gaps in gamified programming learning tools.
Method: Thematic analysis of included studies; coding for personalization mechanisms, engagement metrics, and curriculum coverage.
Sample: Meta-analysis across studies totaling 3,000+ students.</w:t>
            </w:r>
          </w:p>
        </w:tc>
        <w:tc>
          <w:tcPr>
            <w:tcBorders>
              <w:top w:val="single" w:color="AACCDD" w:sz="2"/>
              <w:left w:val="single" w:color="AACCDD" w:sz="2"/>
              <w:bottom w:val="single" w:color="AACCDD" w:sz="2"/>
              <w:right w:val="single" w:color="AACCDD" w:sz="2"/>
            </w:tcBorders>
            <w:shd w:fill="DAEEF3" w:val="clear"/>
            <w:tcMar>
              <w:top w:type="dxa" w:w="80"/>
              <w:left w:type="dxa" w:w="120"/>
              <w:bottom w:type="dxa" w:w="80"/>
              <w:right w:type="dxa" w:w="120"/>
            </w:tcMar>
            <w:vAlign w:val="top"/>
          </w:tcPr>
          <w:p>
            <w:r>
              <w:rPr>
                <w:rFonts w:ascii="Arial" w:cs="Arial" w:eastAsia="Arial" w:hAnsi="Arial"/>
                <w:b w:val="false"/>
                <w:bCs w:val="false"/>
                <w:sz w:val="19"/>
                <w:szCs w:val="19"/>
              </w:rPr>
              <w:t xml:space="preserve">The review found that most gamified programming tools cover only beginner-level content and use binary correct/incorrect feedback. Personalization mechanisms are rarely ML-driven; most rely on rule-based difficulty adjustment. Engagement improves significantly with narrative elements. Conclusion: A major gap exists for advanced programming content and ML-driven adaptive gamified learning.</w:t>
            </w:r>
          </w:p>
        </w:tc>
        <w:tc>
          <w:tcPr>
            <w:tcBorders>
              <w:top w:val="single" w:color="AACCDD" w:sz="2"/>
              <w:left w:val="single" w:color="AACCDD" w:sz="2"/>
              <w:bottom w:val="single" w:color="AACCDD" w:sz="2"/>
              <w:right w:val="single" w:color="AACCDD" w:sz="2"/>
            </w:tcBorders>
            <w:shd w:fill="DAEEF3" w:val="clear"/>
            <w:tcMar>
              <w:top w:type="dxa" w:w="80"/>
              <w:left w:type="dxa" w:w="120"/>
              <w:bottom w:type="dxa" w:w="80"/>
              <w:right w:type="dxa" w:w="120"/>
            </w:tcMar>
            <w:vAlign w:val="top"/>
          </w:tcPr>
          <w:p>
            <w:r>
              <w:rPr>
                <w:rFonts w:ascii="Arial" w:cs="Arial" w:eastAsia="Arial" w:hAnsi="Arial"/>
                <w:b w:val="false"/>
                <w:bCs w:val="false"/>
                <w:sz w:val="19"/>
                <w:szCs w:val="19"/>
              </w:rPr>
              <w:t xml:space="preserve">Limitation: Review-only; no new system proposed or evaluated. Relevance to PYTHONIA: Provides direct justification for PYTHONIA's 7-zone curriculum (beginner to advanced) and DKT-driven personalization as explicit responses to identified gaps. Gap addressed: PYTHONIA is the first system in this space to cover async/decorators/algorithms within a game environment.</w:t>
            </w:r>
          </w:p>
        </w:tc>
      </w:tr>
      <w:tr>
        <w:tc>
          <w:tcPr>
            <w:tcBorders>
              <w:top w:val="single" w:color="AACCDD" w:sz="2"/>
              <w:left w:val="single" w:color="AACCDD" w:sz="2"/>
              <w:bottom w:val="single" w:color="AACCDD" w:sz="2"/>
              <w:right w:val="single" w:color="AACCDD" w:sz="2"/>
            </w:tcBorders>
            <w:shd w:fill="EBF4F9" w:val="clear"/>
            <w:tcMar>
              <w:top w:type="dxa" w:w="80"/>
              <w:left w:type="dxa" w:w="120"/>
              <w:bottom w:type="dxa" w:w="80"/>
              <w:right w:type="dxa" w:w="120"/>
            </w:tcMar>
            <w:vAlign w:val="top"/>
          </w:tcPr>
          <w:p>
            <w:r>
              <w:rPr>
                <w:rFonts w:ascii="Arial" w:cs="Arial" w:eastAsia="Arial" w:hAnsi="Arial"/>
                <w:b/>
                <w:bCs/>
                <w:sz w:val="19"/>
                <w:szCs w:val="19"/>
              </w:rPr>
              <w:t xml:space="preserve">6</w:t>
            </w:r>
          </w:p>
        </w:tc>
        <w:tc>
          <w:tcPr>
            <w:tcBorders>
              <w:top w:val="single" w:color="AACCDD" w:sz="2"/>
              <w:left w:val="single" w:color="AACCDD" w:sz="2"/>
              <w:bottom w:val="single" w:color="AACCDD" w:sz="2"/>
              <w:right w:val="single" w:color="AACCDD" w:sz="2"/>
            </w:tcBorders>
            <w:shd w:fill="EBF4F9" w:val="clear"/>
            <w:tcMar>
              <w:top w:type="dxa" w:w="80"/>
              <w:left w:type="dxa" w:w="120"/>
              <w:bottom w:type="dxa" w:w="80"/>
              <w:right w:type="dxa" w:w="120"/>
            </w:tcMar>
            <w:vAlign w:val="top"/>
          </w:tcPr>
          <w:p>
            <w:r>
              <w:rPr>
                <w:rFonts w:ascii="Arial" w:cs="Arial" w:eastAsia="Arial" w:hAnsi="Arial"/>
                <w:b w:val="false"/>
                <w:bCs w:val="false"/>
                <w:sz w:val="19"/>
                <w:szCs w:val="19"/>
              </w:rPr>
              <w:t xml:space="preserve">DKVMN&amp;MRI: A New Deep Knowledge Tracing Model Based on DKVMN Incorporating Multi-Relational Information
Xu et al.
2024</w:t>
            </w:r>
          </w:p>
        </w:tc>
        <w:tc>
          <w:tcPr>
            <w:tcBorders>
              <w:top w:val="single" w:color="AACCDD" w:sz="2"/>
              <w:left w:val="single" w:color="AACCDD" w:sz="2"/>
              <w:bottom w:val="single" w:color="AACCDD" w:sz="2"/>
              <w:right w:val="single" w:color="AACCDD" w:sz="2"/>
            </w:tcBorders>
            <w:shd w:fill="EBF4F9" w:val="clear"/>
            <w:tcMar>
              <w:top w:type="dxa" w:w="80"/>
              <w:left w:type="dxa" w:w="120"/>
              <w:bottom w:type="dxa" w:w="80"/>
              <w:right w:type="dxa" w:w="120"/>
            </w:tcMar>
            <w:vAlign w:val="top"/>
          </w:tcPr>
          <w:p>
            <w:r>
              <w:rPr>
                <w:rFonts w:ascii="Arial" w:cs="Arial" w:eastAsia="Arial" w:hAnsi="Arial"/>
                <w:b w:val="false"/>
                <w:bCs w:val="false"/>
                <w:sz w:val="19"/>
                <w:szCs w:val="19"/>
              </w:rPr>
              <w:t xml:space="preserve">Focus: Extending the Dynamic Key-Value Memory Network (DKVMN) for KT by incorporating multi-relational concept graphs.
Design: Graph-enhanced DKVMN model using concept prerequisite and co-occurrence relationships.
Objective: Improve concept mastery prediction accuracy by modeling inter-concept dependencies.
Method: Graph neural network encodes concept relationships; DKVMN reads/writes memory states per student interaction.
Sample: Evaluated on ASSISTments2009 and EdNet public datasets.</w:t>
            </w:r>
          </w:p>
        </w:tc>
        <w:tc>
          <w:tcPr>
            <w:tcBorders>
              <w:top w:val="single" w:color="AACCDD" w:sz="2"/>
              <w:left w:val="single" w:color="AACCDD" w:sz="2"/>
              <w:bottom w:val="single" w:color="AACCDD" w:sz="2"/>
              <w:right w:val="single" w:color="AACCDD" w:sz="2"/>
            </w:tcBorders>
            <w:shd w:fill="EBF4F9" w:val="clear"/>
            <w:tcMar>
              <w:top w:type="dxa" w:w="80"/>
              <w:left w:type="dxa" w:w="120"/>
              <w:bottom w:type="dxa" w:w="80"/>
              <w:right w:type="dxa" w:w="120"/>
            </w:tcMar>
            <w:vAlign w:val="top"/>
          </w:tcPr>
          <w:p>
            <w:r>
              <w:rPr>
                <w:rFonts w:ascii="Arial" w:cs="Arial" w:eastAsia="Arial" w:hAnsi="Arial"/>
                <w:b w:val="false"/>
                <w:bCs w:val="false"/>
                <w:sz w:val="19"/>
                <w:szCs w:val="19"/>
              </w:rPr>
              <w:t xml:space="preserve">DKVMN+MRI outperformed standard DKVMN and vanilla DKT on AUC (prediction accuracy) by 3–5% on benchmark datasets. Modeling concept prerequisites explicitly improved mastery prediction for advanced concepts with complex dependencies. Conclusion: Multi-relational graph information meaningfully improves DKT performance.</w:t>
            </w:r>
          </w:p>
        </w:tc>
        <w:tc>
          <w:tcPr>
            <w:tcBorders>
              <w:top w:val="single" w:color="AACCDD" w:sz="2"/>
              <w:left w:val="single" w:color="AACCDD" w:sz="2"/>
              <w:bottom w:val="single" w:color="AACCDD" w:sz="2"/>
              <w:right w:val="single" w:color="AACCDD" w:sz="2"/>
            </w:tcBorders>
            <w:shd w:fill="EBF4F9" w:val="clear"/>
            <w:tcMar>
              <w:top w:type="dxa" w:w="80"/>
              <w:left w:type="dxa" w:w="120"/>
              <w:bottom w:type="dxa" w:w="80"/>
              <w:right w:type="dxa" w:w="120"/>
            </w:tcMar>
            <w:vAlign w:val="top"/>
          </w:tcPr>
          <w:p>
            <w:r>
              <w:rPr>
                <w:rFonts w:ascii="Arial" w:cs="Arial" w:eastAsia="Arial" w:hAnsi="Arial"/>
                <w:b w:val="false"/>
                <w:bCs w:val="false"/>
                <w:sz w:val="19"/>
                <w:szCs w:val="19"/>
              </w:rPr>
              <w:t xml:space="preserve">Limitation: Requires pre-built concept relationship graphs; not evaluated in a real-time game context. Relevance to PYTHONIA: Informs the DKT architecture choice — PYTHONIA's PyTorch model can incorporate Python concept dependency graphs (e.g., decorators require functions + closures). Gap addressed: PYTHONIA applies this within a game loop where interactions are code submissions, not MCQ responses.</w:t>
            </w:r>
          </w:p>
        </w:tc>
      </w:tr>
      <w:tr>
        <w:tc>
          <w:tcPr>
            <w:tcBorders>
              <w:top w:val="single" w:color="AACCDD" w:sz="2"/>
              <w:left w:val="single" w:color="AACCDD" w:sz="2"/>
              <w:bottom w:val="single" w:color="AACCDD" w:sz="2"/>
              <w:right w:val="single" w:color="AACCDD" w:sz="2"/>
            </w:tcBorders>
            <w:shd w:fill="DAEEF3" w:val="clear"/>
            <w:tcMar>
              <w:top w:type="dxa" w:w="80"/>
              <w:left w:type="dxa" w:w="120"/>
              <w:bottom w:type="dxa" w:w="80"/>
              <w:right w:type="dxa" w:w="120"/>
            </w:tcMar>
            <w:vAlign w:val="top"/>
          </w:tcPr>
          <w:p>
            <w:r>
              <w:rPr>
                <w:rFonts w:ascii="Arial" w:cs="Arial" w:eastAsia="Arial" w:hAnsi="Arial"/>
                <w:b/>
                <w:bCs/>
                <w:sz w:val="19"/>
                <w:szCs w:val="19"/>
              </w:rPr>
              <w:t xml:space="preserve">7</w:t>
            </w:r>
          </w:p>
        </w:tc>
        <w:tc>
          <w:tcPr>
            <w:tcBorders>
              <w:top w:val="single" w:color="AACCDD" w:sz="2"/>
              <w:left w:val="single" w:color="AACCDD" w:sz="2"/>
              <w:bottom w:val="single" w:color="AACCDD" w:sz="2"/>
              <w:right w:val="single" w:color="AACCDD" w:sz="2"/>
            </w:tcBorders>
            <w:shd w:fill="DAEEF3" w:val="clear"/>
            <w:tcMar>
              <w:top w:type="dxa" w:w="80"/>
              <w:left w:type="dxa" w:w="120"/>
              <w:bottom w:type="dxa" w:w="80"/>
              <w:right w:type="dxa" w:w="120"/>
            </w:tcMar>
            <w:vAlign w:val="top"/>
          </w:tcPr>
          <w:p>
            <w:r>
              <w:rPr>
                <w:rFonts w:ascii="Arial" w:cs="Arial" w:eastAsia="Arial" w:hAnsi="Arial"/>
                <w:b w:val="false"/>
                <w:bCs w:val="false"/>
                <w:sz w:val="19"/>
                <w:szCs w:val="19"/>
              </w:rPr>
              <w:t xml:space="preserve">Integrating LLMs in Gamified Systems
Costa
2025</w:t>
            </w:r>
          </w:p>
        </w:tc>
        <w:tc>
          <w:tcPr>
            <w:tcBorders>
              <w:top w:val="single" w:color="AACCDD" w:sz="2"/>
              <w:left w:val="single" w:color="AACCDD" w:sz="2"/>
              <w:bottom w:val="single" w:color="AACCDD" w:sz="2"/>
              <w:right w:val="single" w:color="AACCDD" w:sz="2"/>
            </w:tcBorders>
            <w:shd w:fill="DAEEF3" w:val="clear"/>
            <w:tcMar>
              <w:top w:type="dxa" w:w="80"/>
              <w:left w:type="dxa" w:w="120"/>
              <w:bottom w:type="dxa" w:w="80"/>
              <w:right w:type="dxa" w:w="120"/>
            </w:tcMar>
            <w:vAlign w:val="top"/>
          </w:tcPr>
          <w:p>
            <w:r>
              <w:rPr>
                <w:rFonts w:ascii="Arial" w:cs="Arial" w:eastAsia="Arial" w:hAnsi="Arial"/>
                <w:b w:val="false"/>
                <w:bCs w:val="false"/>
                <w:sz w:val="19"/>
                <w:szCs w:val="19"/>
              </w:rPr>
              <w:t xml:space="preserve">Focus: Theoretical and practical framework for integrating Large Language Models into gamified educational systems.
Design: Conceptual architecture paper with prototype implementations.
Objective: Define integration patterns for LLMs in game-based learning environments.
Method: Design science research; prototype testing with a small student group.
Sample: Small pilot study (n=15) with undergraduate students.</w:t>
            </w:r>
          </w:p>
        </w:tc>
        <w:tc>
          <w:tcPr>
            <w:tcBorders>
              <w:top w:val="single" w:color="AACCDD" w:sz="2"/>
              <w:left w:val="single" w:color="AACCDD" w:sz="2"/>
              <w:bottom w:val="single" w:color="AACCDD" w:sz="2"/>
              <w:right w:val="single" w:color="AACCDD" w:sz="2"/>
            </w:tcBorders>
            <w:shd w:fill="DAEEF3" w:val="clear"/>
            <w:tcMar>
              <w:top w:type="dxa" w:w="80"/>
              <w:left w:type="dxa" w:w="120"/>
              <w:bottom w:type="dxa" w:w="80"/>
              <w:right w:type="dxa" w:w="120"/>
            </w:tcMar>
            <w:vAlign w:val="top"/>
          </w:tcPr>
          <w:p>
            <w:r>
              <w:rPr>
                <w:rFonts w:ascii="Arial" w:cs="Arial" w:eastAsia="Arial" w:hAnsi="Arial"/>
                <w:b w:val="false"/>
                <w:bCs w:val="false"/>
                <w:sz w:val="19"/>
                <w:szCs w:val="19"/>
              </w:rPr>
              <w:t xml:space="preserve">LLM integration into gamified systems significantly improves NPC dialogue quality, dynamic mission generation, and personalized feedback. However, latency and coherence degradation in long game sessions were identified as key challenges. Conclusion: LLMs are viable for gamified education but require careful context window management and caching strategies.</w:t>
            </w:r>
          </w:p>
        </w:tc>
        <w:tc>
          <w:tcPr>
            <w:tcBorders>
              <w:top w:val="single" w:color="AACCDD" w:sz="2"/>
              <w:left w:val="single" w:color="AACCDD" w:sz="2"/>
              <w:bottom w:val="single" w:color="AACCDD" w:sz="2"/>
              <w:right w:val="single" w:color="AACCDD" w:sz="2"/>
            </w:tcBorders>
            <w:shd w:fill="DAEEF3" w:val="clear"/>
            <w:tcMar>
              <w:top w:type="dxa" w:w="80"/>
              <w:left w:type="dxa" w:w="120"/>
              <w:bottom w:type="dxa" w:w="80"/>
              <w:right w:type="dxa" w:w="120"/>
            </w:tcMar>
            <w:vAlign w:val="top"/>
          </w:tcPr>
          <w:p>
            <w:r>
              <w:rPr>
                <w:rFonts w:ascii="Arial" w:cs="Arial" w:eastAsia="Arial" w:hAnsi="Arial"/>
                <w:b w:val="false"/>
                <w:bCs w:val="false"/>
                <w:sz w:val="19"/>
                <w:szCs w:val="19"/>
              </w:rPr>
              <w:t xml:space="preserve">Limitation: Prototype only; no longitudinal evaluation or advanced curriculum coverage. Relevance to PYTHONIA: Directly validates the LangGraph multi-agent architecture and the Redis caching layer for NPC memory in PYTHONIA. Gap addressed: PYTHONIA implements a production-grade 4-agent system with persistent memory (Redis + Supabase) to address the coherence and latency issues identified here.</w:t>
            </w:r>
          </w:p>
        </w:tc>
      </w:tr>
      <w:tr>
        <w:tc>
          <w:tcPr>
            <w:tcBorders>
              <w:top w:val="single" w:color="AACCDD" w:sz="2"/>
              <w:left w:val="single" w:color="AACCDD" w:sz="2"/>
              <w:bottom w:val="single" w:color="AACCDD" w:sz="2"/>
              <w:right w:val="single" w:color="AACCDD" w:sz="2"/>
            </w:tcBorders>
            <w:shd w:fill="EBF4F9" w:val="clear"/>
            <w:tcMar>
              <w:top w:type="dxa" w:w="80"/>
              <w:left w:type="dxa" w:w="120"/>
              <w:bottom w:type="dxa" w:w="80"/>
              <w:right w:type="dxa" w:w="120"/>
            </w:tcMar>
            <w:vAlign w:val="top"/>
          </w:tcPr>
          <w:p>
            <w:r>
              <w:rPr>
                <w:rFonts w:ascii="Arial" w:cs="Arial" w:eastAsia="Arial" w:hAnsi="Arial"/>
                <w:b/>
                <w:bCs/>
                <w:sz w:val="19"/>
                <w:szCs w:val="19"/>
              </w:rPr>
              <w:t xml:space="preserve">8</w:t>
            </w:r>
          </w:p>
        </w:tc>
        <w:tc>
          <w:tcPr>
            <w:tcBorders>
              <w:top w:val="single" w:color="AACCDD" w:sz="2"/>
              <w:left w:val="single" w:color="AACCDD" w:sz="2"/>
              <w:bottom w:val="single" w:color="AACCDD" w:sz="2"/>
              <w:right w:val="single" w:color="AACCDD" w:sz="2"/>
            </w:tcBorders>
            <w:shd w:fill="EBF4F9" w:val="clear"/>
            <w:tcMar>
              <w:top w:type="dxa" w:w="80"/>
              <w:left w:type="dxa" w:w="120"/>
              <w:bottom w:type="dxa" w:w="80"/>
              <w:right w:type="dxa" w:w="120"/>
            </w:tcMar>
            <w:vAlign w:val="top"/>
          </w:tcPr>
          <w:p>
            <w:r>
              <w:rPr>
                <w:rFonts w:ascii="Arial" w:cs="Arial" w:eastAsia="Arial" w:hAnsi="Arial"/>
                <w:b w:val="false"/>
                <w:bCs w:val="false"/>
                <w:sz w:val="19"/>
                <w:szCs w:val="19"/>
              </w:rPr>
              <w:t xml:space="preserve">Personalizing Education through an Adaptive LMS with Integrated LLMs
Spriggs, Lau &amp; Passi
2025</w:t>
            </w:r>
          </w:p>
        </w:tc>
        <w:tc>
          <w:tcPr>
            <w:tcBorders>
              <w:top w:val="single" w:color="AACCDD" w:sz="2"/>
              <w:left w:val="single" w:color="AACCDD" w:sz="2"/>
              <w:bottom w:val="single" w:color="AACCDD" w:sz="2"/>
              <w:right w:val="single" w:color="AACCDD" w:sz="2"/>
            </w:tcBorders>
            <w:shd w:fill="EBF4F9" w:val="clear"/>
            <w:tcMar>
              <w:top w:type="dxa" w:w="80"/>
              <w:left w:type="dxa" w:w="120"/>
              <w:bottom w:type="dxa" w:w="80"/>
              <w:right w:type="dxa" w:w="120"/>
            </w:tcMar>
            <w:vAlign w:val="top"/>
          </w:tcPr>
          <w:p>
            <w:r>
              <w:rPr>
                <w:rFonts w:ascii="Arial" w:cs="Arial" w:eastAsia="Arial" w:hAnsi="Arial"/>
                <w:b w:val="false"/>
                <w:bCs w:val="false"/>
                <w:sz w:val="19"/>
                <w:szCs w:val="19"/>
              </w:rPr>
              <w:t xml:space="preserve">Focus: Designing a Learning Management System that uses LLMs to dynamically adapt content delivery.
Design: LMS architecture with LLM layer for content recommendation and feedback generation.
Objective: Replace rule-based LMS adaptation with LLM-driven personalization.
Method: LLM receives student profile + performance history; recommends next learning unit and generates adaptive quizzes.
Sample: 80 undergraduate students over one semester.</w:t>
            </w:r>
          </w:p>
        </w:tc>
        <w:tc>
          <w:tcPr>
            <w:tcBorders>
              <w:top w:val="single" w:color="AACCDD" w:sz="2"/>
              <w:left w:val="single" w:color="AACCDD" w:sz="2"/>
              <w:bottom w:val="single" w:color="AACCDD" w:sz="2"/>
              <w:right w:val="single" w:color="AACCDD" w:sz="2"/>
            </w:tcBorders>
            <w:shd w:fill="EBF4F9" w:val="clear"/>
            <w:tcMar>
              <w:top w:type="dxa" w:w="80"/>
              <w:left w:type="dxa" w:w="120"/>
              <w:bottom w:type="dxa" w:w="80"/>
              <w:right w:type="dxa" w:w="120"/>
            </w:tcMar>
            <w:vAlign w:val="top"/>
          </w:tcPr>
          <w:p>
            <w:r>
              <w:rPr>
                <w:rFonts w:ascii="Arial" w:cs="Arial" w:eastAsia="Arial" w:hAnsi="Arial"/>
                <w:b w:val="false"/>
                <w:bCs w:val="false"/>
                <w:sz w:val="19"/>
                <w:szCs w:val="19"/>
              </w:rPr>
              <w:t xml:space="preserve">The adaptive LMS with LLMs significantly outperformed the baseline rule-based LMS on student satisfaction and learning gain metrics. LLMs effectively personalized content pacing and generated targeted feedback. Conclusion: LLM-driven LMS adaptation is feasible and measurably more effective than rule-based systems.</w:t>
            </w:r>
          </w:p>
        </w:tc>
        <w:tc>
          <w:tcPr>
            <w:tcBorders>
              <w:top w:val="single" w:color="AACCDD" w:sz="2"/>
              <w:left w:val="single" w:color="AACCDD" w:sz="2"/>
              <w:bottom w:val="single" w:color="AACCDD" w:sz="2"/>
              <w:right w:val="single" w:color="AACCDD" w:sz="2"/>
            </w:tcBorders>
            <w:shd w:fill="EBF4F9" w:val="clear"/>
            <w:tcMar>
              <w:top w:type="dxa" w:w="80"/>
              <w:left w:type="dxa" w:w="120"/>
              <w:bottom w:type="dxa" w:w="80"/>
              <w:right w:type="dxa" w:w="120"/>
            </w:tcMar>
            <w:vAlign w:val="top"/>
          </w:tcPr>
          <w:p>
            <w:r>
              <w:rPr>
                <w:rFonts w:ascii="Arial" w:cs="Arial" w:eastAsia="Arial" w:hAnsi="Arial"/>
                <w:b w:val="false"/>
                <w:bCs w:val="false"/>
                <w:sz w:val="19"/>
                <w:szCs w:val="19"/>
              </w:rPr>
              <w:t xml:space="preserve">Limitation: LMS context; no game world or live code execution. Student interaction model is passive (watch/read), not active coding. Relevance to PYTHONIA: Supports PYTHONIA's adaptive difficulty pipeline where DKT outputs feed the LLM-powered Game Master Agent for mission selection. Gap addressed: PYTHONIA replaces passive content consumption with active code-writing missions where real execution output drives adaptation.</w:t>
            </w:r>
          </w:p>
        </w:tc>
      </w:tr>
      <w:tr>
        <w:tc>
          <w:tcPr>
            <w:tcBorders>
              <w:top w:val="single" w:color="AACCDD" w:sz="2"/>
              <w:left w:val="single" w:color="AACCDD" w:sz="2"/>
              <w:bottom w:val="single" w:color="AACCDD" w:sz="2"/>
              <w:right w:val="single" w:color="AACCDD" w:sz="2"/>
            </w:tcBorders>
            <w:shd w:fill="DAEEF3" w:val="clear"/>
            <w:tcMar>
              <w:top w:type="dxa" w:w="80"/>
              <w:left w:type="dxa" w:w="120"/>
              <w:bottom w:type="dxa" w:w="80"/>
              <w:right w:type="dxa" w:w="120"/>
            </w:tcMar>
            <w:vAlign w:val="top"/>
          </w:tcPr>
          <w:p>
            <w:r>
              <w:rPr>
                <w:rFonts w:ascii="Arial" w:cs="Arial" w:eastAsia="Arial" w:hAnsi="Arial"/>
                <w:b/>
                <w:bCs/>
                <w:sz w:val="19"/>
                <w:szCs w:val="19"/>
              </w:rPr>
              <w:t xml:space="preserve">9</w:t>
            </w:r>
          </w:p>
        </w:tc>
        <w:tc>
          <w:tcPr>
            <w:tcBorders>
              <w:top w:val="single" w:color="AACCDD" w:sz="2"/>
              <w:left w:val="single" w:color="AACCDD" w:sz="2"/>
              <w:bottom w:val="single" w:color="AACCDD" w:sz="2"/>
              <w:right w:val="single" w:color="AACCDD" w:sz="2"/>
            </w:tcBorders>
            <w:shd w:fill="DAEEF3" w:val="clear"/>
            <w:tcMar>
              <w:top w:type="dxa" w:w="80"/>
              <w:left w:type="dxa" w:w="120"/>
              <w:bottom w:type="dxa" w:w="80"/>
              <w:right w:type="dxa" w:w="120"/>
            </w:tcMar>
            <w:vAlign w:val="top"/>
          </w:tcPr>
          <w:p>
            <w:r>
              <w:rPr>
                <w:rFonts w:ascii="Arial" w:cs="Arial" w:eastAsia="Arial" w:hAnsi="Arial"/>
                <w:b w:val="false"/>
                <w:bCs w:val="false"/>
                <w:sz w:val="19"/>
                <w:szCs w:val="19"/>
              </w:rPr>
              <w:t xml:space="preserve">DeliverC: Teaching Pointers through GenAI-Powered Game-Based Learning
Petula et al.
2026</w:t>
            </w:r>
          </w:p>
        </w:tc>
        <w:tc>
          <w:tcPr>
            <w:tcBorders>
              <w:top w:val="single" w:color="AACCDD" w:sz="2"/>
              <w:left w:val="single" w:color="AACCDD" w:sz="2"/>
              <w:bottom w:val="single" w:color="AACCDD" w:sz="2"/>
              <w:right w:val="single" w:color="AACCDD" w:sz="2"/>
            </w:tcBorders>
            <w:shd w:fill="DAEEF3" w:val="clear"/>
            <w:tcMar>
              <w:top w:type="dxa" w:w="80"/>
              <w:left w:type="dxa" w:w="120"/>
              <w:bottom w:type="dxa" w:w="80"/>
              <w:right w:type="dxa" w:w="120"/>
            </w:tcMar>
            <w:vAlign w:val="top"/>
          </w:tcPr>
          <w:p>
            <w:r>
              <w:rPr>
                <w:rFonts w:ascii="Arial" w:cs="Arial" w:eastAsia="Arial" w:hAnsi="Arial"/>
                <w:b w:val="false"/>
                <w:bCs w:val="false"/>
                <w:sz w:val="19"/>
                <w:szCs w:val="19"/>
              </w:rPr>
              <w:t xml:space="preserve">Focus: Using generative AI inside a game to teach a specific hard CS concept (pointers in C).
Design: Narrative game with AI-generated hints and dynamic mission scaffolding for pointer concepts.
Objective: Improve student understanding of pointers through game-based GenAI tutoring.
Method: GenAI generates contextual hints and error explanations during gameplay; pre/post concept tests.
Sample: 45 undergraduate CS students (SIGCSE 2026 study).</w:t>
            </w:r>
          </w:p>
        </w:tc>
        <w:tc>
          <w:tcPr>
            <w:tcBorders>
              <w:top w:val="single" w:color="AACCDD" w:sz="2"/>
              <w:left w:val="single" w:color="AACCDD" w:sz="2"/>
              <w:bottom w:val="single" w:color="AACCDD" w:sz="2"/>
              <w:right w:val="single" w:color="AACCDD" w:sz="2"/>
            </w:tcBorders>
            <w:shd w:fill="DAEEF3" w:val="clear"/>
            <w:tcMar>
              <w:top w:type="dxa" w:w="80"/>
              <w:left w:type="dxa" w:w="120"/>
              <w:bottom w:type="dxa" w:w="80"/>
              <w:right w:type="dxa" w:w="120"/>
            </w:tcMar>
            <w:vAlign w:val="top"/>
          </w:tcPr>
          <w:p>
            <w:r>
              <w:rPr>
                <w:rFonts w:ascii="Arial" w:cs="Arial" w:eastAsia="Arial" w:hAnsi="Arial"/>
                <w:b w:val="false"/>
                <w:bCs w:val="false"/>
                <w:sz w:val="19"/>
                <w:szCs w:val="19"/>
              </w:rPr>
              <w:t xml:space="preserve">Students using DeliverC showed significantly improved conceptual understanding of pointers compared to the control group using lecture + textbook. GenAI-generated hints reduced frustration and improved task completion rates. Conclusion: GenAI-powered game-based learning is highly effective for teaching difficult, abstract programming concepts.</w:t>
            </w:r>
          </w:p>
        </w:tc>
        <w:tc>
          <w:tcPr>
            <w:tcBorders>
              <w:top w:val="single" w:color="AACCDD" w:sz="2"/>
              <w:left w:val="single" w:color="AACCDD" w:sz="2"/>
              <w:bottom w:val="single" w:color="AACCDD" w:sz="2"/>
              <w:right w:val="single" w:color="AACCDD" w:sz="2"/>
            </w:tcBorders>
            <w:shd w:fill="DAEEF3" w:val="clear"/>
            <w:tcMar>
              <w:top w:type="dxa" w:w="80"/>
              <w:left w:type="dxa" w:w="120"/>
              <w:bottom w:type="dxa" w:w="80"/>
              <w:right w:type="dxa" w:w="120"/>
            </w:tcMar>
            <w:vAlign w:val="top"/>
          </w:tcPr>
          <w:p>
            <w:r>
              <w:rPr>
                <w:rFonts w:ascii="Arial" w:cs="Arial" w:eastAsia="Arial" w:hAnsi="Arial"/>
                <w:b w:val="false"/>
                <w:bCs w:val="false"/>
                <w:sz w:val="19"/>
                <w:szCs w:val="19"/>
              </w:rPr>
              <w:t xml:space="preserve">Limitation: Single concept (pointers); not a full programming curriculum. GenAI hints are not grounded in a RAG knowledge base, risking hallucinations. Relevance to PYTHONIA: Provides experimental validation closest to PYTHONIA's design. Confirms the Socratic hint approach and game-based GenAI feedback loop. Gap addressed: PYTHONIA scales this to a full 7-zone curriculum with RAG-grounded (hallucination-reduced) hints and live Python execution.</w:t>
            </w:r>
          </w:p>
        </w:tc>
      </w:tr>
      <w:tr>
        <w:tc>
          <w:tcPr>
            <w:tcBorders>
              <w:top w:val="single" w:color="AACCDD" w:sz="2"/>
              <w:left w:val="single" w:color="AACCDD" w:sz="2"/>
              <w:bottom w:val="single" w:color="AACCDD" w:sz="2"/>
              <w:right w:val="single" w:color="AACCDD" w:sz="2"/>
            </w:tcBorders>
            <w:shd w:fill="EBF4F9" w:val="clear"/>
            <w:tcMar>
              <w:top w:type="dxa" w:w="80"/>
              <w:left w:type="dxa" w:w="120"/>
              <w:bottom w:type="dxa" w:w="80"/>
              <w:right w:type="dxa" w:w="120"/>
            </w:tcMar>
            <w:vAlign w:val="top"/>
          </w:tcPr>
          <w:p>
            <w:r>
              <w:rPr>
                <w:rFonts w:ascii="Arial" w:cs="Arial" w:eastAsia="Arial" w:hAnsi="Arial"/>
                <w:b/>
                <w:bCs/>
                <w:sz w:val="19"/>
                <w:szCs w:val="19"/>
              </w:rPr>
              <w:t xml:space="preserve">10</w:t>
            </w:r>
          </w:p>
        </w:tc>
        <w:tc>
          <w:tcPr>
            <w:tcBorders>
              <w:top w:val="single" w:color="AACCDD" w:sz="2"/>
              <w:left w:val="single" w:color="AACCDD" w:sz="2"/>
              <w:bottom w:val="single" w:color="AACCDD" w:sz="2"/>
              <w:right w:val="single" w:color="AACCDD" w:sz="2"/>
            </w:tcBorders>
            <w:shd w:fill="EBF4F9" w:val="clear"/>
            <w:tcMar>
              <w:top w:type="dxa" w:w="80"/>
              <w:left w:type="dxa" w:w="120"/>
              <w:bottom w:type="dxa" w:w="80"/>
              <w:right w:type="dxa" w:w="120"/>
            </w:tcMar>
            <w:vAlign w:val="top"/>
          </w:tcPr>
          <w:p>
            <w:r>
              <w:rPr>
                <w:rFonts w:ascii="Arial" w:cs="Arial" w:eastAsia="Arial" w:hAnsi="Arial"/>
                <w:b w:val="false"/>
                <w:bCs w:val="false"/>
                <w:sz w:val="19"/>
                <w:szCs w:val="19"/>
              </w:rPr>
              <w:t xml:space="preserve">Dual-State Personalized Knowledge Tracing with Emotional Incorporation
Wang et al.
2024</w:t>
            </w:r>
          </w:p>
        </w:tc>
        <w:tc>
          <w:tcPr>
            <w:tcBorders>
              <w:top w:val="single" w:color="AACCDD" w:sz="2"/>
              <w:left w:val="single" w:color="AACCDD" w:sz="2"/>
              <w:bottom w:val="single" w:color="AACCDD" w:sz="2"/>
              <w:right w:val="single" w:color="AACCDD" w:sz="2"/>
            </w:tcBorders>
            <w:shd w:fill="EBF4F9" w:val="clear"/>
            <w:tcMar>
              <w:top w:type="dxa" w:w="80"/>
              <w:left w:type="dxa" w:w="120"/>
              <w:bottom w:type="dxa" w:w="80"/>
              <w:right w:type="dxa" w:w="120"/>
            </w:tcMar>
            <w:vAlign w:val="top"/>
          </w:tcPr>
          <w:p>
            <w:r>
              <w:rPr>
                <w:rFonts w:ascii="Arial" w:cs="Arial" w:eastAsia="Arial" w:hAnsi="Arial"/>
                <w:b w:val="false"/>
                <w:bCs w:val="false"/>
                <w:sz w:val="19"/>
                <w:szCs w:val="19"/>
              </w:rPr>
              <w:t xml:space="preserve">Focus: Extending Knowledge Tracing by modeling both cognitive (mastery) and emotional (engagement/frustration) states of learners.
Design: Dual-state KT model — one LSTM for knowledge state, one for emotional state — with cross-attention between them.
Objective: Improve KT prediction accuracy and enable emotion-aware adaptive learning.
Method: Trained on student interaction sequences augmented with self-reported affect or behavioral proxies.
Sample: Evaluated on public KT benchmarks (ASSISTments) + a private emotionally-labeled dataset.</w:t>
            </w:r>
          </w:p>
        </w:tc>
        <w:tc>
          <w:tcPr>
            <w:tcBorders>
              <w:top w:val="single" w:color="AACCDD" w:sz="2"/>
              <w:left w:val="single" w:color="AACCDD" w:sz="2"/>
              <w:bottom w:val="single" w:color="AACCDD" w:sz="2"/>
              <w:right w:val="single" w:color="AACCDD" w:sz="2"/>
            </w:tcBorders>
            <w:shd w:fill="EBF4F9" w:val="clear"/>
            <w:tcMar>
              <w:top w:type="dxa" w:w="80"/>
              <w:left w:type="dxa" w:w="120"/>
              <w:bottom w:type="dxa" w:w="80"/>
              <w:right w:type="dxa" w:w="120"/>
            </w:tcMar>
            <w:vAlign w:val="top"/>
          </w:tcPr>
          <w:p>
            <w:r>
              <w:rPr>
                <w:rFonts w:ascii="Arial" w:cs="Arial" w:eastAsia="Arial" w:hAnsi="Arial"/>
                <w:b w:val="false"/>
                <w:bCs w:val="false"/>
                <w:sz w:val="19"/>
                <w:szCs w:val="19"/>
              </w:rPr>
              <w:t xml:space="preserve">The dual-state model outperformed standard DKT models on all benchmark datasets. Incorporating emotional state reduced prediction error for students showing signs of disengagement or frustration. Conclusion: Emotion-aware KT models are more robust predictors of learning outcomes than purely cognitive models.</w:t>
            </w:r>
          </w:p>
        </w:tc>
        <w:tc>
          <w:tcPr>
            <w:tcBorders>
              <w:top w:val="single" w:color="AACCDD" w:sz="2"/>
              <w:left w:val="single" w:color="AACCDD" w:sz="2"/>
              <w:bottom w:val="single" w:color="AACCDD" w:sz="2"/>
              <w:right w:val="single" w:color="AACCDD" w:sz="2"/>
            </w:tcBorders>
            <w:shd w:fill="EBF4F9" w:val="clear"/>
            <w:tcMar>
              <w:top w:type="dxa" w:w="80"/>
              <w:left w:type="dxa" w:w="120"/>
              <w:bottom w:type="dxa" w:w="80"/>
              <w:right w:type="dxa" w:w="120"/>
            </w:tcMar>
            <w:vAlign w:val="top"/>
          </w:tcPr>
          <w:p>
            <w:r>
              <w:rPr>
                <w:rFonts w:ascii="Arial" w:cs="Arial" w:eastAsia="Arial" w:hAnsi="Arial"/>
                <w:b w:val="false"/>
                <w:bCs w:val="false"/>
                <w:sz w:val="19"/>
                <w:szCs w:val="19"/>
              </w:rPr>
              <w:t xml:space="preserve">Limitation: Emotional state labeling requires either self-report (intrusive) or behavioral proxies that may be noisy. Full affect sensing requires webcam, raising privacy concerns. Relevance to PYTHONIA: Informs PYTHONIA's Player Behavior Classifier (XGBoost) which tracks hint usage rate, session time, and error frequency as behavioral emotion proxies to adapt difficulty. Gap addressed: PYTHONIA's future scope (Affective Computing with webcam) directly builds on this paper's framework.</w:t>
            </w:r>
          </w:p>
        </w:tc>
      </w:tr>
    </w:tbl>
    <w:p>
      <w:pPr>
        <w:spacing w:after="200" w:before="400"/>
      </w:pPr>
      <w:r>
        <w:rPr>
          <w:rFonts w:ascii="Arial" w:cs="Arial" w:eastAsia="Arial" w:hAnsi="Arial"/>
          <w:b/>
          <w:bCs/>
          <w:color w:val="2E75B6"/>
          <w:sz w:val="24"/>
          <w:szCs w:val="24"/>
        </w:rPr>
        <w:t xml:space="preserve">References — 10 Articles Used in Literature Review</w:t>
      </w:r>
    </w:p>
    <w:p>
      <w:pPr>
        <w:spacing w:after="80" w:before="80"/>
        <w:ind w:left="360" w:hanging="360"/>
      </w:pPr>
      <w:r>
        <w:rPr>
          <w:rFonts w:ascii="Arial" w:cs="Arial" w:eastAsia="Arial" w:hAnsi="Arial"/>
          <w:sz w:val="19"/>
          <w:szCs w:val="19"/>
        </w:rPr>
        <w:t xml:space="preserve">[1] TutorLLM: Customizing Learning Recommendations with Knowledge Tracing and Retrieval-Augmented Generation</w:t>
      </w:r>
    </w:p>
    <w:p>
      <w:pPr>
        <w:spacing w:after="80" w:before="80"/>
        <w:ind w:left="360" w:hanging="360"/>
      </w:pPr>
      <w:r>
        <w:rPr>
          <w:rFonts w:ascii="Arial" w:cs="Arial" w:eastAsia="Arial" w:hAnsi="Arial"/>
          <w:sz w:val="19"/>
          <w:szCs w:val="19"/>
        </w:rPr>
        <w:t xml:space="preserve">[2] LPITutor: An LLM Based Personalized Intelligent Tutoring System Using RAG and Prompt Engineering</w:t>
      </w:r>
    </w:p>
    <w:p>
      <w:pPr>
        <w:spacing w:after="80" w:before="80"/>
        <w:ind w:left="360" w:hanging="360"/>
      </w:pPr>
      <w:r>
        <w:rPr>
          <w:rFonts w:ascii="Arial" w:cs="Arial" w:eastAsia="Arial" w:hAnsi="Arial"/>
          <w:sz w:val="19"/>
          <w:szCs w:val="19"/>
        </w:rPr>
        <w:t xml:space="preserve">[3] Deep Knowledge Tracing and Cognitive Load Estimation for Personalized Learning Path Generation</w:t>
      </w:r>
    </w:p>
    <w:p>
      <w:pPr>
        <w:spacing w:after="80" w:before="80"/>
        <w:ind w:left="360" w:hanging="360"/>
      </w:pPr>
      <w:r>
        <w:rPr>
          <w:rFonts w:ascii="Arial" w:cs="Arial" w:eastAsia="Arial" w:hAnsi="Arial"/>
          <w:sz w:val="19"/>
          <w:szCs w:val="19"/>
        </w:rPr>
        <w:t xml:space="preserve">[4] SRLAgent: Enhancing Self-Regulated Learning Skills through Gamification and LLM Assistance</w:t>
      </w:r>
    </w:p>
    <w:p>
      <w:pPr>
        <w:spacing w:after="80" w:before="80"/>
        <w:ind w:left="360" w:hanging="360"/>
      </w:pPr>
      <w:r>
        <w:rPr>
          <w:rFonts w:ascii="Arial" w:cs="Arial" w:eastAsia="Arial" w:hAnsi="Arial"/>
          <w:sz w:val="19"/>
          <w:szCs w:val="19"/>
        </w:rPr>
        <w:t xml:space="preserve">[5] Level Up Your Coding: A Systematic Review of Personalized, Cognitive, and Gamified Learning in Programming Education</w:t>
      </w:r>
    </w:p>
    <w:p>
      <w:pPr>
        <w:spacing w:after="80" w:before="80"/>
        <w:ind w:left="360" w:hanging="360"/>
      </w:pPr>
      <w:r>
        <w:rPr>
          <w:rFonts w:ascii="Arial" w:cs="Arial" w:eastAsia="Arial" w:hAnsi="Arial"/>
          <w:sz w:val="19"/>
          <w:szCs w:val="19"/>
        </w:rPr>
        <w:t xml:space="preserve">[6] DKVMN&amp;MRI: A New Deep Knowledge Tracing Model Based on DKVMN Incorporating Multi-Relational Information</w:t>
      </w:r>
    </w:p>
    <w:p>
      <w:pPr>
        <w:spacing w:after="80" w:before="80"/>
        <w:ind w:left="360" w:hanging="360"/>
      </w:pPr>
      <w:r>
        <w:rPr>
          <w:rFonts w:ascii="Arial" w:cs="Arial" w:eastAsia="Arial" w:hAnsi="Arial"/>
          <w:sz w:val="19"/>
          <w:szCs w:val="19"/>
        </w:rPr>
        <w:t xml:space="preserve">[7] Integrating LLMs in Gamified Systems</w:t>
      </w:r>
    </w:p>
    <w:p>
      <w:pPr>
        <w:spacing w:after="80" w:before="80"/>
        <w:ind w:left="360" w:hanging="360"/>
      </w:pPr>
      <w:r>
        <w:rPr>
          <w:rFonts w:ascii="Arial" w:cs="Arial" w:eastAsia="Arial" w:hAnsi="Arial"/>
          <w:sz w:val="19"/>
          <w:szCs w:val="19"/>
        </w:rPr>
        <w:t xml:space="preserve">[8] Personalizing Education through an Adaptive LMS with Integrated LLMs</w:t>
      </w:r>
    </w:p>
    <w:p>
      <w:pPr>
        <w:spacing w:after="80" w:before="80"/>
        <w:ind w:left="360" w:hanging="360"/>
      </w:pPr>
      <w:r>
        <w:rPr>
          <w:rFonts w:ascii="Arial" w:cs="Arial" w:eastAsia="Arial" w:hAnsi="Arial"/>
          <w:sz w:val="19"/>
          <w:szCs w:val="19"/>
        </w:rPr>
        <w:t xml:space="preserve">[9] DeliverC: Teaching Pointers through GenAI-Powered Game-Based Learning</w:t>
      </w:r>
    </w:p>
    <w:p>
      <w:pPr>
        <w:spacing w:after="80" w:before="80"/>
        <w:ind w:left="360" w:hanging="360"/>
      </w:pPr>
      <w:r>
        <w:rPr>
          <w:rFonts w:ascii="Arial" w:cs="Arial" w:eastAsia="Arial" w:hAnsi="Arial"/>
          <w:sz w:val="19"/>
          <w:szCs w:val="19"/>
        </w:rPr>
        <w:t xml:space="preserve">[10] Dual-State Personalized Knowledge Tracing with Emotional Incorporation</w:t>
      </w:r>
    </w:p>
    <w:sectPr>
      <w:pgSz w:w="15840" w:h="122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2026-06-05T16:12:42.890Z</dcterms:created>
  <dcterms:modified xsi:type="dcterms:W3CDTF">2026-06-05T16:12:42.890Z</dcterms:modified>
</cp:coreProperties>
</file>

<file path=docProps/custom.xml><?xml version="1.0" encoding="utf-8"?>
<Properties xmlns="http://schemas.openxmlformats.org/officeDocument/2006/custom-properties" xmlns:vt="http://schemas.openxmlformats.org/officeDocument/2006/docPropsVTypes"/>
</file>