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SIH26173 iTantra — Referenced Material and Research Links</w:t>
      </w:r>
    </w:p>
    <w:p>
      <w:pPr>
        <w:spacing w:after="40"/>
      </w:pPr>
      <w:r>
        <w:rPr>
          <w:b w:val="0"/>
          <w:sz w:val="24"/>
        </w:rPr>
        <w:t>Offline, device-to-device voice messaging for Indian languages (STT → compact sealed text → TTS over Bluetooth / Wi-Fi Direct).</w:t>
      </w:r>
    </w:p>
    <w:p>
      <w:pPr>
        <w:spacing w:after="40"/>
      </w:pPr>
      <w:r>
        <w:rPr>
          <w:b w:val="0"/>
          <w:sz w:val="22"/>
        </w:rPr>
        <w:t>Organisation: Indian Space Research Organisation (ISRO), Department of Space. Category: Software.</w:t>
      </w:r>
    </w:p>
    <w:p>
      <w:pPr>
        <w:spacing w:after="120"/>
      </w:pPr>
      <w:r>
        <w:rPr>
          <w:b w:val="0"/>
          <w:sz w:val="20"/>
        </w:rPr>
        <w:t>Compiled: 30 September 2026. This document lists the primary source documents, research papers, models, datasets, standards and prior art behind the project, with links. Open every link before citing it on a slide.</w:t>
      </w:r>
    </w:p>
    <w:p>
      <w:pPr>
        <w:pStyle w:val="Heading1"/>
      </w:pPr>
      <w:r>
        <w:t>1. Local source documents (in this workspace)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0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3800"/>
          </w:tcPr>
          <w:p>
            <w:r/>
            <w:r>
              <w:rPr>
                <w:b/>
              </w:rPr>
              <w:t>Location</w:t>
            </w:r>
          </w:p>
        </w:tc>
        <w:tc>
          <w:tcPr>
            <w:tcW w:type="dxa" w:w="4800"/>
          </w:tcPr>
          <w:p>
            <w:r/>
            <w:r>
              <w:rPr>
                <w:b/>
              </w:rPr>
              <w:t>What it is</w:t>
            </w:r>
          </w:p>
        </w:tc>
      </w:tr>
      <w:tr>
        <w:tc>
          <w:tcPr>
            <w:tcW w:type="dxa" w:w="3000"/>
          </w:tcPr>
          <w:p>
            <w:r>
              <w:t>iTantra research, gap analysis and build plan (PDF)</w:t>
            </w:r>
          </w:p>
        </w:tc>
        <w:tc>
          <w:tcPr>
            <w:tcW w:type="dxa" w:w="3800"/>
          </w:tcPr>
          <w:p>
            <w:r>
              <w:t>/home/nikhil/dev/SIH/SIH26173 iTantra research, gap analysis and build plan-1.pdf</w:t>
            </w:r>
          </w:p>
        </w:tc>
        <w:tc>
          <w:tcPr>
            <w:tcW w:type="dxa" w:w="4800"/>
          </w:tcPr>
          <w:p>
            <w:r>
              <w:t>The main research doc: findings, gap analysis, measured bandwidth, model/licence notes, what not to claim. Referenced throughout.</w:t>
            </w:r>
          </w:p>
        </w:tc>
      </w:tr>
      <w:tr>
        <w:tc>
          <w:tcPr>
            <w:tcW w:type="dxa" w:w="3000"/>
          </w:tcPr>
          <w:p>
            <w:r>
              <w:t>Agent development plan</w:t>
            </w:r>
          </w:p>
        </w:tc>
        <w:tc>
          <w:tcPr>
            <w:tcW w:type="dxa" w:w="3800"/>
          </w:tcPr>
          <w:p>
            <w:r>
              <w:t>/home/nikhil/dev/SIH/ITANTRA_AGENT_PLAN.md</w:t>
            </w:r>
          </w:p>
        </w:tc>
        <w:tc>
          <w:tcPr>
            <w:tcW w:type="dxa" w:w="4800"/>
          </w:tcPr>
          <w:p>
            <w:r>
              <w:t>The ordered build plan, contract, phases and gates used for the implementation.</w:t>
            </w:r>
          </w:p>
        </w:tc>
      </w:tr>
      <w:tr>
        <w:tc>
          <w:tcPr>
            <w:tcW w:type="dxa" w:w="3000"/>
          </w:tcPr>
          <w:p>
            <w:r>
              <w:t>Repository README / TASKS / DECISIONS / OPEN_QUESTIONS</w:t>
            </w:r>
          </w:p>
        </w:tc>
        <w:tc>
          <w:tcPr>
            <w:tcW w:type="dxa" w:w="3800"/>
          </w:tcPr>
          <w:p>
            <w:r>
              <w:t>/home/nikhil/dev/SIH/itantra/</w:t>
            </w:r>
          </w:p>
        </w:tc>
        <w:tc>
          <w:tcPr>
            <w:tcW w:type="dxa" w:w="4800"/>
          </w:tcPr>
          <w:p>
            <w:r>
              <w:t>Implementation status, evidence log, decision log and blockers.</w:t>
            </w:r>
          </w:p>
        </w:tc>
      </w:tr>
      <w:tr>
        <w:tc>
          <w:tcPr>
            <w:tcW w:type="dxa" w:w="3000"/>
          </w:tcPr>
          <w:p>
            <w:r>
              <w:t>Protocol, packs, metrics, licences, demo</w:t>
            </w:r>
          </w:p>
        </w:tc>
        <w:tc>
          <w:tcPr>
            <w:tcW w:type="dxa" w:w="3800"/>
          </w:tcPr>
          <w:p>
            <w:r>
              <w:t>/home/nikhil/dev/SIH/itantra/docs</w:t>
            </w:r>
          </w:p>
        </w:tc>
        <w:tc>
          <w:tcPr>
            <w:tcW w:type="dxa" w:w="4800"/>
          </w:tcPr>
          <w:p>
            <w:r>
              <w:t>PROTOCOL.md, PACKS.md, METRICS.md, LICENSES.md, DEMO.md, PS_OFFICIAL.md.</w:t>
            </w:r>
          </w:p>
        </w:tc>
      </w:tr>
      <w:tr>
        <w:tc>
          <w:tcPr>
            <w:tcW w:type="dxa" w:w="3000"/>
          </w:tcPr>
          <w:p>
            <w:r>
              <w:t>Measured results</w:t>
            </w:r>
          </w:p>
        </w:tc>
        <w:tc>
          <w:tcPr>
            <w:tcW w:type="dxa" w:w="3800"/>
          </w:tcPr>
          <w:p>
            <w:r>
              <w:t>/home/nikhil/dev/SIH/itantra/tools/bench/results</w:t>
            </w:r>
          </w:p>
        </w:tc>
        <w:tc>
          <w:tcPr>
            <w:tcW w:type="dxa" w:w="4800"/>
          </w:tcPr>
          <w:p>
            <w:r>
              <w:t>size.csv, link.csv and their provenance sidecars. Every number quoted must come from here.</w:t>
            </w:r>
          </w:p>
        </w:tc>
      </w:tr>
    </w:tbl>
    <w:p>
      <w:pPr>
        <w:pStyle w:val="Heading1"/>
      </w:pPr>
      <w:r>
        <w:t>2. Problem statement (summary)</w:t>
      </w:r>
    </w:p>
    <w:p>
      <w:pPr>
        <w:spacing w:after="120"/>
      </w:pPr>
      <w:r>
        <w:rPr>
          <w:b w:val="0"/>
          <w:sz w:val="22"/>
        </w:rPr>
        <w:t>Verified from listings: PS number SIH26173; Title 'iTantra – Indian Multilingual TTS &amp; STT Aided Neural Transceiver Radio Access for low bitrate links'; Organisation ISRO; Category Software. Detailed requirements circulating in team repos are labelled 'reported' and must be checked against the portal copy.</w:t>
      </w:r>
    </w:p>
    <w:p>
      <w:pPr>
        <w:spacing w:after="120"/>
      </w:pPr>
      <w:r>
        <w:rPr>
          <w:b w:val="0"/>
          <w:sz w:val="22"/>
        </w:rPr>
        <w:t>Reported scoring: Efficiency 20%, Accuracy 40%, Latency 20% (the fourth 20% is not stated in the sources examined). Reported languages: ten (Hindi, Gujarati, Marathi, Kannada, Malayalam, Tamil, Telugu, Bengali, Odia, Punjabi) plus English.</w:t>
      </w:r>
    </w:p>
    <w:p>
      <w:r>
        <w:t xml:space="preserve">Official portal: </w:t>
      </w:r>
      <w:hyperlink r:id="rId9">
        <w:r>
          <w:rPr>
            <w:color w:val="0563C1"/>
            <w:u w:val="single"/>
          </w:rPr>
          <w:t>https://sih.gov.in/</w:t>
        </w:r>
      </w:hyperlink>
    </w:p>
    <w:p>
      <w:pPr>
        <w:spacing w:after="120"/>
      </w:pPr>
      <w:r>
        <w:rPr>
          <w:b w:val="0"/>
          <w:sz w:val="18"/>
        </w:rPr>
        <w:t>Note: the official portal text could not be opened during research; requirements marked 'reported' come from third-party team repositories that quote it.</w:t>
      </w:r>
    </w:p>
    <w:p>
      <w:pPr>
        <w:pStyle w:val="Heading1"/>
      </w:pPr>
      <w:r>
        <w:t>3. Research papers (verified links, open before citing)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200"/>
          </w:tcPr>
          <w:p>
            <w:r/>
            <w:r>
              <w:rPr>
                <w:b/>
              </w:rPr>
              <w:t>Paper</w:t>
            </w:r>
          </w:p>
        </w:tc>
        <w:tc>
          <w:tcPr>
            <w:tcW w:type="dxa" w:w="2600"/>
          </w:tcPr>
          <w:p>
            <w:r/>
            <w:r>
              <w:rPr>
                <w:b/>
              </w:rPr>
              <w:t>Link</w:t>
            </w:r>
          </w:p>
        </w:tc>
        <w:tc>
          <w:tcPr>
            <w:tcW w:type="dxa" w:w="4800"/>
          </w:tcPr>
          <w:p>
            <w:r/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4200"/>
          </w:tcPr>
          <w:p>
            <w:r>
              <w:t>Polyak et al., Speech Resynthesis from Discrete Disentangled Self-Supervised Representations (Interspeech 2021)</w:t>
            </w:r>
          </w:p>
        </w:tc>
        <w:tc>
          <w:tcPr>
            <w:tcW w:type="dxa" w:w="2600"/>
          </w:tcPr>
          <w:p>
            <w:r/>
            <w:hyperlink r:id="rId10">
              <w:r>
                <w:rPr>
                  <w:color w:val="0563C1"/>
                  <w:u w:val="single"/>
                </w:rPr>
                <w:t>arxiv.org/abs/2104.00355</w:t>
              </w:r>
            </w:hyperlink>
          </w:p>
        </w:tc>
        <w:tc>
          <w:tcPr>
            <w:tcW w:type="dxa" w:w="4800"/>
          </w:tcPr>
          <w:p>
            <w:r>
              <w:t>A 365 bps semantic codec (content + pitch + speaker). Use as the 'semantic codec' comparison for text bitrate; not Indic, needs HuBERT and a GAN vocoder.</w:t>
            </w:r>
          </w:p>
        </w:tc>
      </w:tr>
      <w:tr>
        <w:tc>
          <w:tcPr>
            <w:tcW w:type="dxa" w:w="4200"/>
          </w:tcPr>
          <w:p>
            <w:r>
              <w:t>Pratap et al., Scaling Speech Technology to 1,000+ Languages (MMS, Meta)</w:t>
            </w:r>
          </w:p>
        </w:tc>
        <w:tc>
          <w:tcPr>
            <w:tcW w:type="dxa" w:w="2600"/>
          </w:tcPr>
          <w:p>
            <w:r/>
            <w:hyperlink r:id="rId11">
              <w:r>
                <w:rPr>
                  <w:color w:val="0563C1"/>
                  <w:u w:val="single"/>
                </w:rPr>
                <w:t>arxiv.org/abs/2305.13516</w:t>
              </w:r>
            </w:hyperlink>
          </w:p>
        </w:tc>
        <w:tc>
          <w:tcPr>
            <w:tcW w:type="dxa" w:w="4800"/>
          </w:tcPr>
          <w:p>
            <w:r>
              <w:t>Source of the MMS-TTS voices (CC-BY-NC 4.0) used for languages Piper lacks. Non-commercial banner required.</w:t>
            </w:r>
          </w:p>
        </w:tc>
      </w:tr>
      <w:tr>
        <w:tc>
          <w:tcPr>
            <w:tcW w:type="dxa" w:w="4200"/>
          </w:tcPr>
          <w:p>
            <w:r>
              <w:t>Javed et al., IndicVoices: an Inclusive Multilingual Speech Dataset for Indian Languages (ACL Findings 2024)</w:t>
            </w:r>
          </w:p>
        </w:tc>
        <w:tc>
          <w:tcPr>
            <w:tcW w:type="dxa" w:w="2600"/>
          </w:tcPr>
          <w:p>
            <w:r/>
            <w:hyperlink r:id="rId12">
              <w:r>
                <w:rPr>
                  <w:color w:val="0563C1"/>
                  <w:u w:val="single"/>
                </w:rPr>
                <w:t>arxiv.org/abs/2403.01926</w:t>
              </w:r>
            </w:hyperlink>
          </w:p>
        </w:tc>
        <w:tc>
          <w:tcPr>
            <w:tcW w:type="dxa" w:w="4800"/>
          </w:tcPr>
          <w:p>
            <w:r>
              <w:t>7,348 h, 22 languages, spontaneous speech. Justifies testing on spontaneous/noisy speech, not only read sentences.</w:t>
            </w:r>
          </w:p>
        </w:tc>
      </w:tr>
      <w:tr>
        <w:tc>
          <w:tcPr>
            <w:tcW w:type="dxa" w:w="4200"/>
          </w:tcPr>
          <w:p>
            <w:r>
              <w:t>Sankar et al., IndicVoices-R (NeurIPS 2024)</w:t>
            </w:r>
          </w:p>
        </w:tc>
        <w:tc>
          <w:tcPr>
            <w:tcW w:type="dxa" w:w="2600"/>
          </w:tcPr>
          <w:p>
            <w:r/>
            <w:hyperlink r:id="rId13">
              <w:r>
                <w:rPr>
                  <w:color w:val="0563C1"/>
                  <w:u w:val="single"/>
                </w:rPr>
                <w:t>arxiv.org/abs/2409.05356</w:t>
              </w:r>
            </w:hyperlink>
          </w:p>
        </w:tc>
        <w:tc>
          <w:tcPr>
            <w:tcW w:type="dxa" w:w="4800"/>
          </w:tcPr>
          <w:p>
            <w:r>
              <w:t>1,704 h TTS-grade speech, 10,496 speakers, 22 languages. Only if fine-tuning a missing voice.</w:t>
            </w:r>
          </w:p>
        </w:tc>
      </w:tr>
      <w:tr>
        <w:tc>
          <w:tcPr>
            <w:tcW w:type="dxa" w:w="4200"/>
          </w:tcPr>
          <w:p>
            <w:r>
              <w:t>Gala et al., IndicTrans2 (TMLR 2023, AI4Bharat)</w:t>
            </w:r>
          </w:p>
        </w:tc>
        <w:tc>
          <w:tcPr>
            <w:tcW w:type="dxa" w:w="2600"/>
          </w:tcPr>
          <w:p>
            <w:r/>
            <w:hyperlink r:id="rId14">
              <w:r>
                <w:rPr>
                  <w:color w:val="0563C1"/>
                  <w:u w:val="single"/>
                </w:rPr>
                <w:t>arxiv.org/abs/2305.16307</w:t>
              </w:r>
            </w:hyperlink>
          </w:p>
        </w:tc>
        <w:tc>
          <w:tcPr>
            <w:tcW w:type="dxa" w:w="4800"/>
          </w:tcPr>
          <w:p>
            <w:r>
              <w:t>Translation for all 22 scheduled languages; 1.1B base, ~211M distilled. Optional stretch; phone speed unproven.</w:t>
            </w:r>
          </w:p>
        </w:tc>
      </w:tr>
      <w:tr>
        <w:tc>
          <w:tcPr>
            <w:tcW w:type="dxa" w:w="4200"/>
          </w:tcPr>
          <w:p>
            <w:r>
              <w:t>Leschanowsky et al., Benchmarking Neural Speech Codec Intelligibility with SITool (Interspeech 2025)</w:t>
            </w:r>
          </w:p>
        </w:tc>
        <w:tc>
          <w:tcPr>
            <w:tcW w:type="dxa" w:w="2600"/>
          </w:tcPr>
          <w:p>
            <w:r/>
            <w:hyperlink r:id="rId15">
              <w:r>
                <w:rPr>
                  <w:color w:val="0563C1"/>
                  <w:u w:val="single"/>
                </w:rPr>
                <w:t>arxiv.org/abs/2506.01731</w:t>
              </w:r>
            </w:hyperlink>
          </w:p>
        </w:tc>
        <w:tc>
          <w:tcPr>
            <w:tcW w:type="dxa" w:w="4800"/>
          </w:tcPr>
          <w:p>
            <w:r>
              <w:t>Subjective intelligibility benchmark for AMR/EVS/Codec2/LPCNet/Lyra V2/Mimi; method for a small listening test of TTS output.</w:t>
            </w:r>
          </w:p>
        </w:tc>
      </w:tr>
      <w:tr>
        <w:tc>
          <w:tcPr>
            <w:tcW w:type="dxa" w:w="4200"/>
          </w:tcPr>
          <w:p>
            <w:r>
              <w:t>Gulati et al., Conformer (Interspeech 2020)</w:t>
            </w:r>
          </w:p>
        </w:tc>
        <w:tc>
          <w:tcPr>
            <w:tcW w:type="dxa" w:w="2600"/>
          </w:tcPr>
          <w:p>
            <w:r/>
            <w:hyperlink r:id="rId16">
              <w:r>
                <w:rPr>
                  <w:color w:val="0563C1"/>
                  <w:u w:val="single"/>
                </w:rPr>
                <w:t>arxiv.org/abs/2005.08100</w:t>
              </w:r>
            </w:hyperlink>
          </w:p>
        </w:tc>
        <w:tc>
          <w:tcPr>
            <w:tcW w:type="dxa" w:w="4800"/>
          </w:tcPr>
          <w:p>
            <w:r>
              <w:t>Architecture behind IndicConformer.</w:t>
            </w:r>
          </w:p>
        </w:tc>
      </w:tr>
      <w:tr>
        <w:tc>
          <w:tcPr>
            <w:tcW w:type="dxa" w:w="4200"/>
          </w:tcPr>
          <w:p>
            <w:r>
              <w:t>Kim et al., VITS (ICML 2021)</w:t>
            </w:r>
          </w:p>
        </w:tc>
        <w:tc>
          <w:tcPr>
            <w:tcW w:type="dxa" w:w="2600"/>
          </w:tcPr>
          <w:p>
            <w:r/>
            <w:hyperlink r:id="rId17">
              <w:r>
                <w:rPr>
                  <w:color w:val="0563C1"/>
                  <w:u w:val="single"/>
                </w:rPr>
                <w:t>arxiv.org/abs/2106.06103</w:t>
              </w:r>
            </w:hyperlink>
          </w:p>
        </w:tc>
        <w:tc>
          <w:tcPr>
            <w:tcW w:type="dxa" w:w="4800"/>
          </w:tcPr>
          <w:p>
            <w:r>
              <w:t>Architecture behind Piper voices (end-to-end TTS).</w:t>
            </w:r>
          </w:p>
        </w:tc>
      </w:tr>
      <w:tr>
        <w:tc>
          <w:tcPr>
            <w:tcW w:type="dxa" w:w="4200"/>
          </w:tcPr>
          <w:p>
            <w:r>
              <w:t>Radford et al., Whisper (2022)</w:t>
            </w:r>
          </w:p>
        </w:tc>
        <w:tc>
          <w:tcPr>
            <w:tcW w:type="dxa" w:w="2600"/>
          </w:tcPr>
          <w:p>
            <w:r/>
            <w:hyperlink r:id="rId18">
              <w:r>
                <w:rPr>
                  <w:color w:val="0563C1"/>
                  <w:u w:val="single"/>
                </w:rPr>
                <w:t>arxiv.org/abs/2212.04356</w:t>
              </w:r>
            </w:hyperlink>
          </w:p>
        </w:tc>
        <w:tc>
          <w:tcPr>
            <w:tcW w:type="dxa" w:w="4800"/>
          </w:tcPr>
          <w:p>
            <w:r>
              <w:t>Baseline multilingual ASR; one team reports ~100% WER on a single Tamil sentence (weak evidence).</w:t>
            </w:r>
          </w:p>
        </w:tc>
      </w:tr>
      <w:tr>
        <w:tc>
          <w:tcPr>
            <w:tcW w:type="dxa" w:w="4200"/>
          </w:tcPr>
          <w:p>
            <w:r>
              <w:t>Conneau et al., FLEURS: Few-shot Learning Evaluation of Universal Representations of Speech</w:t>
            </w:r>
          </w:p>
        </w:tc>
        <w:tc>
          <w:tcPr>
            <w:tcW w:type="dxa" w:w="2600"/>
          </w:tcPr>
          <w:p>
            <w:r/>
            <w:hyperlink r:id="rId19">
              <w:r>
                <w:rPr>
                  <w:color w:val="0563C1"/>
                  <w:u w:val="single"/>
                </w:rPr>
                <w:t>arxiv.org/abs/2205.12446</w:t>
              </w:r>
            </w:hyperlink>
          </w:p>
        </w:tc>
        <w:tc>
          <w:tcPr>
            <w:tcW w:type="dxa" w:w="4800"/>
          </w:tcPr>
          <w:p>
            <w:r>
              <w:t>Public multilingual test set (reported CC-BY-4.0); verify licence before use.</w:t>
            </w:r>
          </w:p>
        </w:tc>
      </w:tr>
      <w:tr>
        <w:tc>
          <w:tcPr>
            <w:tcW w:type="dxa" w:w="4200"/>
          </w:tcPr>
          <w:p>
            <w:r>
              <w:t>Hsu et al., HuBERT</w:t>
            </w:r>
          </w:p>
        </w:tc>
        <w:tc>
          <w:tcPr>
            <w:tcW w:type="dxa" w:w="2600"/>
          </w:tcPr>
          <w:p>
            <w:r/>
            <w:hyperlink r:id="rId20">
              <w:r>
                <w:rPr>
                  <w:color w:val="0563C1"/>
                  <w:u w:val="single"/>
                </w:rPr>
                <w:t>arxiv.org/abs/2106.07447</w:t>
              </w:r>
            </w:hyperlink>
          </w:p>
        </w:tc>
        <w:tc>
          <w:tcPr>
            <w:tcW w:type="dxa" w:w="4800"/>
          </w:tcPr>
          <w:p>
            <w:r>
              <w:t>Self-supervised units used by semantic codecs.</w:t>
            </w:r>
          </w:p>
        </w:tc>
      </w:tr>
      <w:tr>
        <w:tc>
          <w:tcPr>
            <w:tcW w:type="dxa" w:w="4200"/>
          </w:tcPr>
          <w:p>
            <w:r>
              <w:t>Baevski et al., wav2vec 2.0</w:t>
            </w:r>
          </w:p>
        </w:tc>
        <w:tc>
          <w:tcPr>
            <w:tcW w:type="dxa" w:w="2600"/>
          </w:tcPr>
          <w:p>
            <w:r/>
            <w:hyperlink r:id="rId21">
              <w:r>
                <w:rPr>
                  <w:color w:val="0563C1"/>
                  <w:u w:val="single"/>
                </w:rPr>
                <w:t>arxiv.org/abs/2006.11477</w:t>
              </w:r>
            </w:hyperlink>
          </w:p>
        </w:tc>
        <w:tc>
          <w:tcPr>
            <w:tcW w:type="dxa" w:w="4800"/>
          </w:tcPr>
          <w:p>
            <w:r>
              <w:t>Pre-training base for MMS and Indic models.</w:t>
            </w:r>
          </w:p>
        </w:tc>
      </w:tr>
    </w:tbl>
    <w:p>
      <w:pPr>
        <w:pStyle w:val="Heading1"/>
      </w:pPr>
      <w:r>
        <w:t>4. Papers cited inside the research PDF (verify the link before citing)</w:t>
      </w:r>
    </w:p>
    <w:p>
      <w:pPr>
        <w:spacing w:after="120"/>
      </w:pPr>
      <w:r>
        <w:rPr>
          <w:b w:val="0"/>
          <w:sz w:val="18"/>
        </w:rPr>
        <w:t>These appear in the research PDF's section 3; the PDF gives identifiers, not open URLs. Confirm each resolves before quoting.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00"/>
          </w:tcPr>
          <w:p>
            <w:r/>
            <w:r>
              <w:rPr>
                <w:b/>
              </w:rPr>
              <w:t>Work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Identifier / link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Relevance</w:t>
            </w:r>
          </w:p>
        </w:tc>
      </w:tr>
      <w:tr>
        <w:tc>
          <w:tcPr>
            <w:tcW w:type="dxa" w:w="4800"/>
          </w:tcPr>
          <w:p>
            <w:r>
              <w:t>STCTS: speech as ~80 bps text plus sparse prosody</w:t>
            </w:r>
          </w:p>
        </w:tc>
        <w:tc>
          <w:tcPr>
            <w:tcW w:type="dxa" w:w="3400"/>
          </w:tcPr>
          <w:p>
            <w:r/>
            <w:hyperlink r:id="rId22">
              <w:r>
                <w:rPr>
                  <w:color w:val="0563C1"/>
                  <w:u w:val="single"/>
                </w:rPr>
                <w:t>arXiv:2512.00451</w:t>
              </w:r>
            </w:hyperlink>
          </w:p>
        </w:tc>
        <w:tc>
          <w:tcPr>
            <w:tcW w:type="dxa" w:w="3400"/>
          </w:tcPr>
          <w:p>
            <w:r>
              <w:t>Same idea as ours; not Indic, not on phones.</w:t>
            </w:r>
          </w:p>
        </w:tc>
      </w:tr>
      <w:tr>
        <w:tc>
          <w:tcPr>
            <w:tcW w:type="dxa" w:w="4800"/>
          </w:tcPr>
          <w:p>
            <w:r>
              <w:t>Collette, Greenwood, Nicoll: semantic compression matches codecs at 2–4× lower bitrate</w:t>
            </w:r>
          </w:p>
        </w:tc>
        <w:tc>
          <w:tcPr>
            <w:tcW w:type="dxa" w:w="3400"/>
          </w:tcPr>
          <w:p>
            <w:r/>
            <w:hyperlink r:id="rId23">
              <w:r>
                <w:rPr>
                  <w:color w:val="0563C1"/>
                  <w:u w:val="single"/>
                </w:rPr>
                <w:t>arXiv:2509.15462</w:t>
              </w:r>
            </w:hyperlink>
          </w:p>
        </w:tc>
        <w:tc>
          <w:tcPr>
            <w:tcW w:type="dxa" w:w="3400"/>
          </w:tcPr>
          <w:p>
            <w:r>
              <w:t>Semantic compression evidence; not a phone system.</w:t>
            </w:r>
          </w:p>
        </w:tc>
      </w:tr>
      <w:tr>
        <w:tc>
          <w:tcPr>
            <w:tcW w:type="dxa" w:w="4800"/>
          </w:tcPr>
          <w:p>
            <w:r>
              <w:t>LMCodec2: sub-1 kbps voice for Beidou-3 short messages</w:t>
            </w:r>
          </w:p>
        </w:tc>
        <w:tc>
          <w:tcPr>
            <w:tcW w:type="dxa" w:w="3400"/>
          </w:tcPr>
          <w:p>
            <w:r>
              <w:t>ScienceDirect 2024 (search 'LMCodec2 ScienceDirect 2024')</w:t>
            </w:r>
          </w:p>
        </w:tc>
        <w:tc>
          <w:tcPr>
            <w:tcW w:type="dxa" w:w="3400"/>
          </w:tcPr>
          <w:p>
            <w:r>
              <w:t>Real narrow-link use case for very low bitrate voice.</w:t>
            </w:r>
          </w:p>
        </w:tc>
      </w:tr>
      <w:tr>
        <w:tc>
          <w:tcPr>
            <w:tcW w:type="dxa" w:w="4800"/>
          </w:tcPr>
          <w:p>
            <w:r>
              <w:t>BhasaAnuvaad: read vs spontaneous speech</w:t>
            </w:r>
          </w:p>
        </w:tc>
        <w:tc>
          <w:tcPr>
            <w:tcW w:type="dxa" w:w="3400"/>
          </w:tcPr>
          <w:p>
            <w:r/>
            <w:hyperlink r:id="rId24">
              <w:r>
                <w:rPr>
                  <w:color w:val="0563C1"/>
                  <w:u w:val="single"/>
                </w:rPr>
                <w:t>arXiv:2411.04699</w:t>
              </w:r>
            </w:hyperlink>
          </w:p>
        </w:tc>
        <w:tc>
          <w:tcPr>
            <w:tcW w:type="dxa" w:w="3400"/>
          </w:tcPr>
          <w:p>
            <w:r>
              <w:t>Justifies testing on spontaneous/noisy speech.</w:t>
            </w:r>
          </w:p>
        </w:tc>
      </w:tr>
      <w:tr>
        <w:tc>
          <w:tcPr>
            <w:tcW w:type="dxa" w:w="4800"/>
          </w:tcPr>
          <w:p>
            <w:r>
              <w:t>Rasmalai / Indic Parler-TTS</w:t>
            </w:r>
          </w:p>
        </w:tc>
        <w:tc>
          <w:tcPr>
            <w:tcW w:type="dxa" w:w="3400"/>
          </w:tcPr>
          <w:p>
            <w:r/>
            <w:hyperlink r:id="rId25">
              <w:r>
                <w:rPr>
                  <w:color w:val="0563C1"/>
                  <w:u w:val="single"/>
                </w:rPr>
                <w:t>arXiv:2505.18609</w:t>
              </w:r>
            </w:hyperlink>
          </w:p>
        </w:tc>
        <w:tc>
          <w:tcPr>
            <w:tcW w:type="dxa" w:w="3400"/>
          </w:tcPr>
          <w:p>
            <w:r>
              <w:t>Server-class, 32×H100; do not pitch as on-device.</w:t>
            </w:r>
          </w:p>
        </w:tc>
      </w:tr>
      <w:tr>
        <w:tc>
          <w:tcPr>
            <w:tcW w:type="dxa" w:w="4800"/>
          </w:tcPr>
          <w:p>
            <w:r>
              <w:t>On-device streaming ASR with post-training quantization</w:t>
            </w:r>
          </w:p>
        </w:tc>
        <w:tc>
          <w:tcPr>
            <w:tcW w:type="dxa" w:w="3400"/>
          </w:tcPr>
          <w:p>
            <w:r/>
            <w:hyperlink r:id="rId26">
              <w:r>
                <w:rPr>
                  <w:color w:val="0563C1"/>
                  <w:u w:val="single"/>
                </w:rPr>
                <w:t>arXiv:2604.14493</w:t>
              </w:r>
            </w:hyperlink>
          </w:p>
        </w:tc>
        <w:tc>
          <w:tcPr>
            <w:tcW w:type="dxa" w:w="3400"/>
          </w:tcPr>
          <w:p>
            <w:r>
              <w:t>2.47 GB → 0.67 GB within 1% absolute WER (English); supports quantizing Indic models.</w:t>
            </w:r>
          </w:p>
        </w:tc>
      </w:tr>
      <w:tr>
        <w:tc>
          <w:tcPr>
            <w:tcW w:type="dxa" w:w="4800"/>
          </w:tcPr>
          <w:p>
            <w:r>
              <w:t>SN-WER: script-normalized error rate for multi-script Indic ASR</w:t>
            </w:r>
          </w:p>
        </w:tc>
        <w:tc>
          <w:tcPr>
            <w:tcW w:type="dxa" w:w="3400"/>
          </w:tcPr>
          <w:p>
            <w:r/>
            <w:hyperlink r:id="rId27">
              <w:r>
                <w:rPr>
                  <w:color w:val="0563C1"/>
                  <w:u w:val="single"/>
                </w:rPr>
                <w:t>arXiv:2606.02548</w:t>
              </w:r>
            </w:hyperlink>
          </w:p>
        </w:tc>
        <w:tc>
          <w:tcPr>
            <w:tcW w:type="dxa" w:w="3400"/>
          </w:tcPr>
          <w:p>
            <w:r>
              <w:t>Report CER and WER and note multi-script effects.</w:t>
            </w:r>
          </w:p>
        </w:tc>
      </w:tr>
    </w:tbl>
    <w:p>
      <w:pPr>
        <w:pStyle w:val="Heading1"/>
      </w:pPr>
      <w:r>
        <w:t>5. Models, runtimes and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Link</w:t>
            </w:r>
          </w:p>
        </w:tc>
        <w:tc>
          <w:tcPr>
            <w:tcW w:type="dxa" w:w="4600"/>
          </w:tcPr>
          <w:p>
            <w:r/>
            <w:r>
              <w:rPr>
                <w:b/>
              </w:rPr>
              <w:t>Notes / licence to record in the pack manifest</w:t>
            </w:r>
          </w:p>
        </w:tc>
      </w:tr>
      <w:tr>
        <w:tc>
          <w:tcPr>
            <w:tcW w:type="dxa" w:w="3600"/>
          </w:tcPr>
          <w:p>
            <w:r>
              <w:t>AI4Bharat IndicConformer (per-language hybrid CTC-RNNT)</w:t>
            </w:r>
          </w:p>
        </w:tc>
        <w:tc>
          <w:tcPr>
            <w:tcW w:type="dxa" w:w="3400"/>
          </w:tcPr>
          <w:p>
            <w:r/>
            <w:hyperlink r:id="rId28">
              <w:r>
                <w:rPr>
                  <w:color w:val="0563C1"/>
                  <w:u w:val="single"/>
                </w:rPr>
                <w:t>huggingface.co/ai4bharat/indicconformer_stt_hi_hybrid_ctc_rnnt_large</w:t>
              </w:r>
            </w:hyperlink>
          </w:p>
        </w:tc>
        <w:tc>
          <w:tcPr>
            <w:tcW w:type="dxa" w:w="4600"/>
          </w:tcPr>
          <w:p>
            <w:r>
              <w:t>MIT on the model card; ~120M encoder, 17 Conformer blocks. Third-party int8 CTC ONNX export ~140 MB. Check licence per file.</w:t>
            </w:r>
          </w:p>
        </w:tc>
      </w:tr>
      <w:tr>
        <w:tc>
          <w:tcPr>
            <w:tcW w:type="dxa" w:w="3600"/>
          </w:tcPr>
          <w:p>
            <w:r>
              <w:t>AI4Bharat IndicConformer 600M multilingual</w:t>
            </w:r>
          </w:p>
        </w:tc>
        <w:tc>
          <w:tcPr>
            <w:tcW w:type="dxa" w:w="3400"/>
          </w:tcPr>
          <w:p>
            <w:r/>
            <w:hyperlink r:id="rId29">
              <w:r>
                <w:rPr>
                  <w:color w:val="0563C1"/>
                  <w:u w:val="single"/>
                </w:rPr>
                <w:t>huggingface.co/ai4bharat/indic-conformer-600m-multilingual</w:t>
              </w:r>
            </w:hyperlink>
          </w:p>
        </w:tc>
        <w:tc>
          <w:tcPr>
            <w:tcW w:type="dxa" w:w="4600"/>
          </w:tcPr>
          <w:p>
            <w:r>
              <w:t>Too heavy for low-end phones; edge-laptop reference only.</w:t>
            </w:r>
          </w:p>
        </w:tc>
      </w:tr>
      <w:tr>
        <w:tc>
          <w:tcPr>
            <w:tcW w:type="dxa" w:w="3600"/>
          </w:tcPr>
          <w:p>
            <w:r>
              <w:t>Piper (VITS) voices</w:t>
            </w:r>
          </w:p>
        </w:tc>
        <w:tc>
          <w:tcPr>
            <w:tcW w:type="dxa" w:w="3400"/>
          </w:tcPr>
          <w:p>
            <w:r/>
            <w:hyperlink r:id="rId30">
              <w:r>
                <w:rPr>
                  <w:color w:val="0563C1"/>
                  <w:u w:val="single"/>
                </w:rPr>
                <w:t>github.com/rhasspy/piper</w:t>
              </w:r>
            </w:hyperlink>
          </w:p>
        </w:tc>
        <w:tc>
          <w:tcPr>
            <w:tcW w:type="dxa" w:w="4600"/>
          </w:tcPr>
          <w:p>
            <w:r>
              <w:t>Repo MIT; each voice's dataset licence differs (e.g. Marathi CC-BY-SA 4.0). int8 ~21 MB for some voices.</w:t>
            </w:r>
          </w:p>
        </w:tc>
      </w:tr>
      <w:tr>
        <w:tc>
          <w:tcPr>
            <w:tcW w:type="dxa" w:w="3600"/>
          </w:tcPr>
          <w:p>
            <w:r>
              <w:t>sherpa-onnx (VAD / ASR / TTS runtime, Kotlin JNI)</w:t>
            </w:r>
          </w:p>
        </w:tc>
        <w:tc>
          <w:tcPr>
            <w:tcW w:type="dxa" w:w="3400"/>
          </w:tcPr>
          <w:p>
            <w:r/>
            <w:hyperlink r:id="rId31">
              <w:r>
                <w:rPr>
                  <w:color w:val="0563C1"/>
                  <w:u w:val="single"/>
                </w:rPr>
                <w:t>github.com/k2-fsa/sherpa-onnx</w:t>
              </w:r>
            </w:hyperlink>
          </w:p>
        </w:tc>
        <w:tc>
          <w:tcPr>
            <w:tcW w:type="dxa" w:w="4600"/>
          </w:tcPr>
          <w:p>
            <w:r>
              <w:t>Vendor one release and record the tag. Used for Silero VAD, CTC ASR and VITS TTS.</w:t>
            </w:r>
          </w:p>
        </w:tc>
      </w:tr>
      <w:tr>
        <w:tc>
          <w:tcPr>
            <w:tcW w:type="dxa" w:w="3600"/>
          </w:tcPr>
          <w:p>
            <w:r>
              <w:t>Silero VAD</w:t>
            </w:r>
          </w:p>
        </w:tc>
        <w:tc>
          <w:tcPr>
            <w:tcW w:type="dxa" w:w="3400"/>
          </w:tcPr>
          <w:p>
            <w:r/>
            <w:hyperlink r:id="rId32">
              <w:r>
                <w:rPr>
                  <w:color w:val="0563C1"/>
                  <w:u w:val="single"/>
                </w:rPr>
                <w:t>github.com/snakers4/silero-vad</w:t>
              </w:r>
            </w:hyperlink>
          </w:p>
        </w:tc>
        <w:tc>
          <w:tcPr>
            <w:tcW w:type="dxa" w:w="4600"/>
          </w:tcPr>
          <w:p>
            <w:r>
              <w:t>Voice activity detection; verify frame size from the vendored release.</w:t>
            </w:r>
          </w:p>
        </w:tc>
      </w:tr>
      <w:tr>
        <w:tc>
          <w:tcPr>
            <w:tcW w:type="dxa" w:w="3600"/>
          </w:tcPr>
          <w:p>
            <w:r>
              <w:t>Meta MMS-TTS</w:t>
            </w:r>
          </w:p>
        </w:tc>
        <w:tc>
          <w:tcPr>
            <w:tcW w:type="dxa" w:w="3400"/>
          </w:tcPr>
          <w:p>
            <w:r/>
            <w:hyperlink r:id="rId11">
              <w:r>
                <w:rPr>
                  <w:color w:val="0563C1"/>
                  <w:u w:val="single"/>
                </w:rPr>
                <w:t>arxiv.org/abs/2305.13516</w:t>
              </w:r>
            </w:hyperlink>
          </w:p>
        </w:tc>
        <w:tc>
          <w:tcPr>
            <w:tcW w:type="dxa" w:w="4600"/>
          </w:tcPr>
          <w:p>
            <w:r>
              <w:t>CC-BY-NC 4.0 (non-commercial). Convert to ONNX per voice.</w:t>
            </w:r>
          </w:p>
        </w:tc>
      </w:tr>
      <w:tr>
        <w:tc>
          <w:tcPr>
            <w:tcW w:type="dxa" w:w="3600"/>
          </w:tcPr>
          <w:p>
            <w:r>
              <w:t>AI4Bharat models home</w:t>
            </w:r>
          </w:p>
        </w:tc>
        <w:tc>
          <w:tcPr>
            <w:tcW w:type="dxa" w:w="3400"/>
          </w:tcPr>
          <w:p>
            <w:r/>
            <w:hyperlink r:id="rId33">
              <w:r>
                <w:rPr>
                  <w:color w:val="0563C1"/>
                  <w:u w:val="single"/>
                </w:rPr>
                <w:t>ai4bharat.iitm.ac.in</w:t>
              </w:r>
            </w:hyperlink>
          </w:p>
        </w:tc>
        <w:tc>
          <w:tcPr>
            <w:tcW w:type="dxa" w:w="4600"/>
          </w:tcPr>
          <w:p>
            <w:r>
              <w:t>IndicConformer, Indic-TTS, IndicTrans2, IndicVoices.</w:t>
            </w:r>
          </w:p>
        </w:tc>
      </w:tr>
      <w:tr>
        <w:tc>
          <w:tcPr>
            <w:tcW w:type="dxa" w:w="3600"/>
          </w:tcPr>
          <w:p>
            <w:r>
              <w:t>Google Tink (crypto)</w:t>
            </w:r>
          </w:p>
        </w:tc>
        <w:tc>
          <w:tcPr>
            <w:tcW w:type="dxa" w:w="3400"/>
          </w:tcPr>
          <w:p>
            <w:r/>
            <w:hyperlink r:id="rId34">
              <w:r>
                <w:rPr>
                  <w:color w:val="0563C1"/>
                  <w:u w:val="single"/>
                </w:rPr>
                <w:t>github.com/tink-crypto/tink-java</w:t>
              </w:r>
            </w:hyperlink>
          </w:p>
        </w:tc>
        <w:tc>
          <w:tcPr>
            <w:tcW w:type="dxa" w:w="4600"/>
          </w:tcPr>
          <w:p>
            <w:r>
              <w:t>Ed25519, X25519, HKDF, ChaCha20-Poly1305; or libsodium.</w:t>
            </w:r>
          </w:p>
        </w:tc>
      </w:tr>
      <w:tr>
        <w:tc>
          <w:tcPr>
            <w:tcW w:type="dxa" w:w="3600"/>
          </w:tcPr>
          <w:p>
            <w:r>
              <w:t>Protocol Buffers</w:t>
            </w:r>
          </w:p>
        </w:tc>
        <w:tc>
          <w:tcPr>
            <w:tcW w:type="dxa" w:w="3400"/>
          </w:tcPr>
          <w:p>
            <w:r/>
            <w:hyperlink r:id="rId35">
              <w:r>
                <w:rPr>
                  <w:color w:val="0563C1"/>
                  <w:u w:val="single"/>
                </w:rPr>
                <w:t>protobuf.dev</w:t>
              </w:r>
            </w:hyperlink>
          </w:p>
        </w:tc>
        <w:tc>
          <w:tcPr>
            <w:tcW w:type="dxa" w:w="4600"/>
          </w:tcPr>
          <w:p>
            <w:r>
              <w:t>Baseline packet format used by other teams; ours is a fixed binary format.</w:t>
            </w:r>
          </w:p>
        </w:tc>
      </w:tr>
    </w:tbl>
    <w:p>
      <w:pPr>
        <w:pStyle w:val="Heading1"/>
      </w:pPr>
      <w:r>
        <w:t>6. Datasets and test corpora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0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4600"/>
          </w:tcPr>
          <w:p>
            <w:r/>
            <w:r>
              <w:rPr>
                <w:b/>
              </w:rPr>
              <w:t>Link</w:t>
            </w:r>
          </w:p>
        </w:tc>
        <w:tc>
          <w:tcPr>
            <w:tcW w:type="dxa" w:w="4200"/>
          </w:tcPr>
          <w:p>
            <w:r/>
            <w:r>
              <w:rPr>
                <w:b/>
              </w:rPr>
              <w:t>Licence / use</w:t>
            </w:r>
          </w:p>
        </w:tc>
      </w:tr>
      <w:tr>
        <w:tc>
          <w:tcPr>
            <w:tcW w:type="dxa" w:w="2800"/>
          </w:tcPr>
          <w:p>
            <w:r>
              <w:t>FLEURS</w:t>
            </w:r>
          </w:p>
        </w:tc>
        <w:tc>
          <w:tcPr>
            <w:tcW w:type="dxa" w:w="4600"/>
          </w:tcPr>
          <w:p>
            <w:r/>
            <w:hyperlink r:id="rId19">
              <w:r>
                <w:rPr>
                  <w:color w:val="0563C1"/>
                  <w:u w:val="single"/>
                </w:rPr>
                <w:t>arxiv.org/abs/2205.12446</w:t>
              </w:r>
            </w:hyperlink>
          </w:p>
        </w:tc>
        <w:tc>
          <w:tcPr>
            <w:tcW w:type="dxa" w:w="4200"/>
          </w:tcPr>
          <w:p>
            <w:r>
              <w:t>Reported CC-BY-4.0; verify. Read-speech ASR test set.</w:t>
            </w:r>
          </w:p>
        </w:tc>
      </w:tr>
      <w:tr>
        <w:tc>
          <w:tcPr>
            <w:tcW w:type="dxa" w:w="2800"/>
          </w:tcPr>
          <w:p>
            <w:r>
              <w:t>IndicVoices</w:t>
            </w:r>
          </w:p>
        </w:tc>
        <w:tc>
          <w:tcPr>
            <w:tcW w:type="dxa" w:w="4600"/>
          </w:tcPr>
          <w:p>
            <w:r/>
            <w:hyperlink r:id="rId12">
              <w:r>
                <w:rPr>
                  <w:color w:val="0563C1"/>
                  <w:u w:val="single"/>
                </w:rPr>
                <w:t>arxiv.org/abs/2403.01926</w:t>
              </w:r>
            </w:hyperlink>
          </w:p>
        </w:tc>
        <w:tc>
          <w:tcPr>
            <w:tcW w:type="dxa" w:w="4200"/>
          </w:tcPr>
          <w:p>
            <w:r>
              <w:t>Spontaneous Indic speech; check access terms and test-set availability.</w:t>
            </w:r>
          </w:p>
        </w:tc>
      </w:tr>
      <w:tr>
        <w:tc>
          <w:tcPr>
            <w:tcW w:type="dxa" w:w="2800"/>
          </w:tcPr>
          <w:p>
            <w:r>
              <w:t>IndicVoices-R</w:t>
            </w:r>
          </w:p>
        </w:tc>
        <w:tc>
          <w:tcPr>
            <w:tcW w:type="dxa" w:w="4600"/>
          </w:tcPr>
          <w:p>
            <w:r/>
            <w:hyperlink r:id="rId13">
              <w:r>
                <w:rPr>
                  <w:color w:val="0563C1"/>
                  <w:u w:val="single"/>
                </w:rPr>
                <w:t>arxiv.org/abs/2409.05356</w:t>
              </w:r>
            </w:hyperlink>
          </w:p>
        </w:tc>
        <w:tc>
          <w:tcPr>
            <w:tcW w:type="dxa" w:w="4200"/>
          </w:tcPr>
          <w:p>
            <w:r>
              <w:t>Indic TTS dataset.</w:t>
            </w:r>
          </w:p>
        </w:tc>
      </w:tr>
      <w:tr>
        <w:tc>
          <w:tcPr>
            <w:tcW w:type="dxa" w:w="2800"/>
          </w:tcPr>
          <w:p>
            <w:r>
              <w:t>Mozilla Common Voice</w:t>
            </w:r>
          </w:p>
        </w:tc>
        <w:tc>
          <w:tcPr>
            <w:tcW w:type="dxa" w:w="4600"/>
          </w:tcPr>
          <w:p>
            <w:r/>
            <w:hyperlink r:id="rId36">
              <w:r>
                <w:rPr>
                  <w:color w:val="0563C1"/>
                  <w:u w:val="single"/>
                </w:rPr>
                <w:t>commonvoice.mozilla.org</w:t>
              </w:r>
            </w:hyperlink>
          </w:p>
        </w:tc>
        <w:tc>
          <w:tcPr>
            <w:tcW w:type="dxa" w:w="4200"/>
          </w:tcPr>
          <w:p>
            <w:r>
              <w:t>CC0; noisy/read multilingual speech.</w:t>
            </w:r>
          </w:p>
        </w:tc>
      </w:tr>
      <w:tr>
        <w:tc>
          <w:tcPr>
            <w:tcW w:type="dxa" w:w="2800"/>
          </w:tcPr>
          <w:p>
            <w:r>
              <w:t>In-repo seed corpus</w:t>
            </w:r>
          </w:p>
        </w:tc>
        <w:tc>
          <w:tcPr>
            <w:tcW w:type="dxa" w:w="4600"/>
          </w:tcPr>
          <w:p>
            <w:r>
              <w:t>/home/nikhil/dev/SIH/itantra/tools/bench/corpus/seed.jsonl</w:t>
            </w:r>
          </w:p>
        </w:tc>
        <w:tc>
          <w:tcPr>
            <w:tcW w:type="dxa" w:w="4200"/>
          </w:tcPr>
          <w:p>
            <w:r>
              <w:t>Hand-authored sample data for the size pipeline; labelled 'sample data', not a benchmark.</w:t>
            </w:r>
          </w:p>
        </w:tc>
      </w:tr>
    </w:tbl>
    <w:p>
      <w:pPr>
        <w:pStyle w:val="Heading1"/>
      </w:pPr>
      <w:r>
        <w:t>7. Communication technologies and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4000"/>
          </w:tcPr>
          <w:p>
            <w:r/>
            <w:r>
              <w:rPr>
                <w:b/>
              </w:rPr>
              <w:t>Link</w:t>
            </w:r>
          </w:p>
        </w:tc>
        <w:tc>
          <w:tcPr>
            <w:tcW w:type="dxa" w:w="4000"/>
          </w:tcPr>
          <w:p>
            <w:r/>
            <w:r>
              <w:rPr>
                <w:b/>
              </w:rPr>
              <w:t>Use here</w:t>
            </w:r>
          </w:p>
        </w:tc>
      </w:tr>
      <w:tr>
        <w:tc>
          <w:tcPr>
            <w:tcW w:type="dxa" w:w="3600"/>
          </w:tcPr>
          <w:p>
            <w:r>
              <w:t>Bundle Protocol v7 (RFC 9171)</w:t>
            </w:r>
          </w:p>
        </w:tc>
        <w:tc>
          <w:tcPr>
            <w:tcW w:type="dxa" w:w="4000"/>
          </w:tcPr>
          <w:p>
            <w:r/>
            <w:hyperlink r:id="rId37">
              <w:r>
                <w:rPr>
                  <w:color w:val="0563C1"/>
                  <w:u w:val="single"/>
                </w:rPr>
                <w:t>rfc-editor.org/rfc/rfc9171.html</w:t>
              </w:r>
            </w:hyperlink>
          </w:p>
        </w:tc>
        <w:tc>
          <w:tcPr>
            <w:tcW w:type="dxa" w:w="4000"/>
          </w:tcPr>
          <w:p>
            <w:r>
              <w:t>Store-carry-forward ideas for the outbox; do not claim BPv7 compliance.</w:t>
            </w:r>
          </w:p>
        </w:tc>
      </w:tr>
      <w:tr>
        <w:tc>
          <w:tcPr>
            <w:tcW w:type="dxa" w:w="3600"/>
          </w:tcPr>
          <w:p>
            <w:r>
              <w:t>Opus (RFC 6716)</w:t>
            </w:r>
          </w:p>
        </w:tc>
        <w:tc>
          <w:tcPr>
            <w:tcW w:type="dxa" w:w="4000"/>
          </w:tcPr>
          <w:p>
            <w:r/>
            <w:hyperlink r:id="rId38">
              <w:r>
                <w:rPr>
                  <w:color w:val="0563C1"/>
                  <w:u w:val="single"/>
                </w:rPr>
                <w:t>rfc-editor.org/rfc/rfc6716.html</w:t>
              </w:r>
            </w:hyperlink>
          </w:p>
        </w:tc>
        <w:tc>
          <w:tcPr>
            <w:tcW w:type="dxa" w:w="4000"/>
          </w:tcPr>
          <w:p>
            <w:r>
              <w:t>Audio baseline (~6 kbps) for the size comparison.</w:t>
            </w:r>
          </w:p>
        </w:tc>
      </w:tr>
      <w:tr>
        <w:tc>
          <w:tcPr>
            <w:tcW w:type="dxa" w:w="3600"/>
          </w:tcPr>
          <w:p>
            <w:r>
              <w:t>Codec2</w:t>
            </w:r>
          </w:p>
        </w:tc>
        <w:tc>
          <w:tcPr>
            <w:tcW w:type="dxa" w:w="4000"/>
          </w:tcPr>
          <w:p>
            <w:r/>
            <w:hyperlink r:id="rId39">
              <w:r>
                <w:rPr>
                  <w:color w:val="0563C1"/>
                  <w:u w:val="single"/>
                </w:rPr>
                <w:t>github.com/drowe67/codec2</w:t>
              </w:r>
            </w:hyperlink>
          </w:p>
        </w:tc>
        <w:tc>
          <w:tcPr>
            <w:tcW w:type="dxa" w:w="4000"/>
          </w:tcPr>
          <w:p>
            <w:r>
              <w:t>700–3200 bps voice baseline; 700C is not actively maintained.</w:t>
            </w:r>
          </w:p>
        </w:tc>
      </w:tr>
      <w:tr>
        <w:tc>
          <w:tcPr>
            <w:tcW w:type="dxa" w:w="3600"/>
          </w:tcPr>
          <w:p>
            <w:r>
              <w:t>Lyra V2</w:t>
            </w:r>
          </w:p>
        </w:tc>
        <w:tc>
          <w:tcPr>
            <w:tcW w:type="dxa" w:w="4000"/>
          </w:tcPr>
          <w:p>
            <w:r/>
            <w:hyperlink r:id="rId40">
              <w:r>
                <w:rPr>
                  <w:color w:val="0563C1"/>
                  <w:u w:val="single"/>
                </w:rPr>
                <w:t>github.com/google/lyra</w:t>
              </w:r>
            </w:hyperlink>
          </w:p>
        </w:tc>
        <w:tc>
          <w:tcPr>
            <w:tcW w:type="dxa" w:w="4000"/>
          </w:tcPr>
          <w:p>
            <w:r>
              <w:t>3.2–9.2 kbps neural codec on Android/TFLite; second audio baseline.</w:t>
            </w:r>
          </w:p>
        </w:tc>
      </w:tr>
      <w:tr>
        <w:tc>
          <w:tcPr>
            <w:tcW w:type="dxa" w:w="3600"/>
          </w:tcPr>
          <w:p>
            <w:r>
              <w:t>ChaCha20-Poly1305 (RFC 8439)</w:t>
            </w:r>
          </w:p>
        </w:tc>
        <w:tc>
          <w:tcPr>
            <w:tcW w:type="dxa" w:w="4000"/>
          </w:tcPr>
          <w:p>
            <w:r/>
            <w:hyperlink r:id="rId41">
              <w:r>
                <w:rPr>
                  <w:color w:val="0563C1"/>
                  <w:u w:val="single"/>
                </w:rPr>
                <w:t>rfc-editor.org/rfc/rfc8439.html</w:t>
              </w:r>
            </w:hyperlink>
          </w:p>
        </w:tc>
        <w:tc>
          <w:tcPr>
            <w:tcW w:type="dxa" w:w="4000"/>
          </w:tcPr>
          <w:p>
            <w:r>
              <w:t>AEAD for message framing.</w:t>
            </w:r>
          </w:p>
        </w:tc>
      </w:tr>
      <w:tr>
        <w:tc>
          <w:tcPr>
            <w:tcW w:type="dxa" w:w="3600"/>
          </w:tcPr>
          <w:p>
            <w:r>
              <w:t>Ed25519 (RFC 8032)</w:t>
            </w:r>
          </w:p>
        </w:tc>
        <w:tc>
          <w:tcPr>
            <w:tcW w:type="dxa" w:w="4000"/>
          </w:tcPr>
          <w:p>
            <w:r/>
            <w:hyperlink r:id="rId42">
              <w:r>
                <w:rPr>
                  <w:color w:val="0563C1"/>
                  <w:u w:val="single"/>
                </w:rPr>
                <w:t>rfc-editor.org/rfc/rfc8032.html</w:t>
              </w:r>
            </w:hyperlink>
          </w:p>
        </w:tc>
        <w:tc>
          <w:tcPr>
            <w:tcW w:type="dxa" w:w="4000"/>
          </w:tcPr>
          <w:p>
            <w:r>
              <w:t>Device identity signing.</w:t>
            </w:r>
          </w:p>
        </w:tc>
      </w:tr>
      <w:tr>
        <w:tc>
          <w:tcPr>
            <w:tcW w:type="dxa" w:w="3600"/>
          </w:tcPr>
          <w:p>
            <w:r>
              <w:t>X25519 (RFC 7748)</w:t>
            </w:r>
          </w:p>
        </w:tc>
        <w:tc>
          <w:tcPr>
            <w:tcW w:type="dxa" w:w="4000"/>
          </w:tcPr>
          <w:p>
            <w:r/>
            <w:hyperlink r:id="rId43">
              <w:r>
                <w:rPr>
                  <w:color w:val="0563C1"/>
                  <w:u w:val="single"/>
                </w:rPr>
                <w:t>rfc-editor.org/rfc/rfc7748.html</w:t>
              </w:r>
            </w:hyperlink>
          </w:p>
        </w:tc>
        <w:tc>
          <w:tcPr>
            <w:tcW w:type="dxa" w:w="4000"/>
          </w:tcPr>
          <w:p>
            <w:r>
              <w:t>Ephemeral key agreement.</w:t>
            </w:r>
          </w:p>
        </w:tc>
      </w:tr>
      <w:tr>
        <w:tc>
          <w:tcPr>
            <w:tcW w:type="dxa" w:w="3600"/>
          </w:tcPr>
          <w:p>
            <w:r>
              <w:t>HKDF (RFC 5869)</w:t>
            </w:r>
          </w:p>
        </w:tc>
        <w:tc>
          <w:tcPr>
            <w:tcW w:type="dxa" w:w="4000"/>
          </w:tcPr>
          <w:p>
            <w:r/>
            <w:hyperlink r:id="rId44">
              <w:r>
                <w:rPr>
                  <w:color w:val="0563C1"/>
                  <w:u w:val="single"/>
                </w:rPr>
                <w:t>rfc-editor.org/rfc/rfc5869.html</w:t>
              </w:r>
            </w:hyperlink>
          </w:p>
        </w:tc>
        <w:tc>
          <w:tcPr>
            <w:tcW w:type="dxa" w:w="4000"/>
          </w:tcPr>
          <w:p>
            <w:r>
              <w:t>Session key derivation.</w:t>
            </w:r>
          </w:p>
        </w:tc>
      </w:tr>
      <w:tr>
        <w:tc>
          <w:tcPr>
            <w:tcW w:type="dxa" w:w="3600"/>
          </w:tcPr>
          <w:p>
            <w:r>
              <w:t>Bluetooth RFCOMM (Android)</w:t>
            </w:r>
          </w:p>
        </w:tc>
        <w:tc>
          <w:tcPr>
            <w:tcW w:type="dxa" w:w="4000"/>
          </w:tcPr>
          <w:p>
            <w:r/>
            <w:hyperlink r:id="rId45">
              <w:r>
                <w:rPr>
                  <w:color w:val="0563C1"/>
                  <w:u w:val="single"/>
                </w:rPr>
                <w:t>developer.android.com/.../BluetoothSocket</w:t>
              </w:r>
            </w:hyperlink>
          </w:p>
        </w:tc>
        <w:tc>
          <w:tcPr>
            <w:tcW w:type="dxa" w:w="4000"/>
          </w:tcPr>
          <w:p>
            <w:r>
              <w:t>First demo transport; stream framing over the socket.</w:t>
            </w:r>
          </w:p>
        </w:tc>
      </w:tr>
      <w:tr>
        <w:tc>
          <w:tcPr>
            <w:tcW w:type="dxa" w:w="3600"/>
          </w:tcPr>
          <w:p>
            <w:r>
              <w:t>Wi-Fi Direct / Wi-Fi P2P (Android)</w:t>
            </w:r>
          </w:p>
        </w:tc>
        <w:tc>
          <w:tcPr>
            <w:tcW w:type="dxa" w:w="4000"/>
          </w:tcPr>
          <w:p>
            <w:r/>
            <w:hyperlink r:id="rId46">
              <w:r>
                <w:rPr>
                  <w:color w:val="0563C1"/>
                  <w:u w:val="single"/>
                </w:rPr>
                <w:t>developer.android.com/.../wifip2p</w:t>
              </w:r>
            </w:hyperlink>
          </w:p>
        </w:tc>
        <w:tc>
          <w:tcPr>
            <w:tcW w:type="dxa" w:w="4000"/>
          </w:tcPr>
          <w:p>
            <w:r>
              <w:t>Transport named by the PS; group owner runs the TCP server.</w:t>
            </w:r>
          </w:p>
        </w:tc>
      </w:tr>
      <w:tr>
        <w:tc>
          <w:tcPr>
            <w:tcW w:type="dxa" w:w="3600"/>
          </w:tcPr>
          <w:p>
            <w:r>
              <w:t>Nearby Connections</w:t>
            </w:r>
          </w:p>
        </w:tc>
        <w:tc>
          <w:tcPr>
            <w:tcW w:type="dxa" w:w="4000"/>
          </w:tcPr>
          <w:p>
            <w:r/>
            <w:hyperlink r:id="rId47">
              <w:r>
                <w:rPr>
                  <w:color w:val="0563C1"/>
                  <w:u w:val="single"/>
                </w:rPr>
                <w:t>developers.google.com/nearby/connections/overview</w:t>
              </w:r>
            </w:hyperlink>
          </w:p>
        </w:tc>
        <w:tc>
          <w:tcPr>
            <w:tcW w:type="dxa" w:w="4000"/>
          </w:tcPr>
          <w:p>
            <w:r>
              <w:t>Optional fallback (~100 m, picks BT/Wi-Fi).</w:t>
            </w:r>
          </w:p>
        </w:tc>
      </w:tr>
      <w:tr>
        <w:tc>
          <w:tcPr>
            <w:tcW w:type="dxa" w:w="3600"/>
          </w:tcPr>
          <w:p>
            <w:r>
              <w:t>Foreground service types (Android 14+)</w:t>
            </w:r>
          </w:p>
        </w:tc>
        <w:tc>
          <w:tcPr>
            <w:tcW w:type="dxa" w:w="4000"/>
          </w:tcPr>
          <w:p>
            <w:r/>
            <w:hyperlink r:id="rId48">
              <w:r>
                <w:rPr>
                  <w:color w:val="0563C1"/>
                  <w:u w:val="single"/>
                </w:rPr>
                <w:t>developer.android.com/.../fgs/service-types</w:t>
              </w:r>
            </w:hyperlink>
          </w:p>
        </w:tc>
        <w:tc>
          <w:tcPr>
            <w:tcW w:type="dxa" w:w="4000"/>
          </w:tcPr>
          <w:p>
            <w:r>
              <w:t>microphone + connectedDevice types and permissions.</w:t>
            </w:r>
          </w:p>
        </w:tc>
      </w:tr>
      <w:tr>
        <w:tc>
          <w:tcPr>
            <w:tcW w:type="dxa" w:w="3600"/>
          </w:tcPr>
          <w:p>
            <w:r>
              <w:t>Meshtastic (LoRa)</w:t>
            </w:r>
          </w:p>
        </w:tc>
        <w:tc>
          <w:tcPr>
            <w:tcW w:type="dxa" w:w="4000"/>
          </w:tcPr>
          <w:p>
            <w:r/>
            <w:hyperlink r:id="rId49">
              <w:r>
                <w:rPr>
                  <w:color w:val="0563C1"/>
                  <w:u w:val="single"/>
                </w:rPr>
                <w:t>meshtastic.org</w:t>
              </w:r>
            </w:hyperlink>
          </w:p>
        </w:tc>
        <w:tc>
          <w:tcPr>
            <w:tcW w:type="dxa" w:w="4000"/>
          </w:tcPr>
          <w:p>
            <w:r>
              <w:t>Stretch: honest narrow-link (LoRa) demo via its AIDL service.</w:t>
            </w:r>
          </w:p>
        </w:tc>
      </w:tr>
    </w:tbl>
    <w:p>
      <w:pPr>
        <w:pStyle w:val="Heading1"/>
      </w:pPr>
      <w:r>
        <w:t>8. Existing systems / prior 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Link</w:t>
            </w:r>
          </w:p>
        </w:tc>
        <w:tc>
          <w:tcPr>
            <w:tcW w:type="dxa" w:w="4800"/>
          </w:tcPr>
          <w:p>
            <w:r/>
            <w:r>
              <w:rPr>
                <w:b/>
              </w:rPr>
              <w:t>What it means for us</w:t>
            </w:r>
          </w:p>
        </w:tc>
      </w:tr>
      <w:tr>
        <w:tc>
          <w:tcPr>
            <w:tcW w:type="dxa" w:w="3400"/>
          </w:tcPr>
          <w:p>
            <w:r>
              <w:t>Google Translate offline (Live Translate)</w:t>
            </w:r>
          </w:p>
        </w:tc>
        <w:tc>
          <w:tcPr>
            <w:tcW w:type="dxa" w:w="3400"/>
          </w:tcPr>
          <w:p>
            <w:r/>
            <w:hyperlink r:id="rId50">
              <w:r>
                <w:rPr>
                  <w:color w:val="0563C1"/>
                  <w:u w:val="single"/>
                </w:rPr>
                <w:t>support.google.com/translate</w:t>
              </w:r>
            </w:hyperlink>
          </w:p>
        </w:tc>
        <w:tc>
          <w:tcPr>
            <w:tcW w:type="dxa" w:w="4800"/>
          </w:tcPr>
          <w:p>
            <w:r>
              <w:t>On-device translation, Pixel 9–11 only; Hindi is the only Indic language. No device-to-device transport.</w:t>
            </w:r>
          </w:p>
        </w:tc>
      </w:tr>
      <w:tr>
        <w:tc>
          <w:tcPr>
            <w:tcW w:type="dxa" w:w="3400"/>
          </w:tcPr>
          <w:p>
            <w:r>
              <w:t>Bhashini (Government of India)</w:t>
            </w:r>
          </w:p>
        </w:tc>
        <w:tc>
          <w:tcPr>
            <w:tcW w:type="dxa" w:w="3400"/>
          </w:tcPr>
          <w:p>
            <w:r/>
            <w:hyperlink r:id="rId51">
              <w:r>
                <w:rPr>
                  <w:color w:val="0563C1"/>
                  <w:u w:val="single"/>
                </w:rPr>
                <w:t>bhashini.gov.in</w:t>
              </w:r>
            </w:hyperlink>
          </w:p>
        </w:tc>
        <w:tc>
          <w:tcPr>
            <w:tcW w:type="dxa" w:w="4800"/>
          </w:tcPr>
          <w:p>
            <w:r>
              <w:t>ASR/TTS/translation APIs, 22 languages; cloud-first, excluded by 'offline'.</w:t>
            </w:r>
          </w:p>
        </w:tc>
      </w:tr>
      <w:tr>
        <w:tc>
          <w:tcPr>
            <w:tcW w:type="dxa" w:w="3400"/>
          </w:tcPr>
          <w:p>
            <w:r>
              <w:t>Briar</w:t>
            </w:r>
          </w:p>
        </w:tc>
        <w:tc>
          <w:tcPr>
            <w:tcW w:type="dxa" w:w="3400"/>
          </w:tcPr>
          <w:p>
            <w:r/>
            <w:hyperlink r:id="rId52">
              <w:r>
                <w:rPr>
                  <w:color w:val="0563C1"/>
                  <w:u w:val="single"/>
                </w:rPr>
                <w:t>briarproject.org</w:t>
              </w:r>
            </w:hyperlink>
          </w:p>
        </w:tc>
        <w:tc>
          <w:tcPr>
            <w:tcW w:type="dxa" w:w="4800"/>
          </w:tcPr>
          <w:p>
            <w:r>
              <w:t>Delivery-layer prior art: syncs over Bluetooth/Wi-Fi; no speech.</w:t>
            </w:r>
          </w:p>
        </w:tc>
      </w:tr>
      <w:tr>
        <w:tc>
          <w:tcPr>
            <w:tcW w:type="dxa" w:w="3400"/>
          </w:tcPr>
          <w:p>
            <w:r>
              <w:t>Meshtastic + ATAK plugin</w:t>
            </w:r>
          </w:p>
        </w:tc>
        <w:tc>
          <w:tcPr>
            <w:tcW w:type="dxa" w:w="3400"/>
          </w:tcPr>
          <w:p>
            <w:r/>
            <w:hyperlink r:id="rId49">
              <w:r>
                <w:rPr>
                  <w:color w:val="0563C1"/>
                  <w:u w:val="single"/>
                </w:rPr>
                <w:t>meshtastic.org</w:t>
              </w:r>
            </w:hyperlink>
          </w:p>
        </w:tc>
        <w:tc>
          <w:tcPr>
            <w:tcW w:type="dxa" w:w="4800"/>
          </w:tcPr>
          <w:p>
            <w:r>
              <w:t>Closest transport prior art: STT (Vosk) over LoRa + TTS on receiver; English only.</w:t>
            </w:r>
          </w:p>
        </w:tc>
      </w:tr>
      <w:tr>
        <w:tc>
          <w:tcPr>
            <w:tcW w:type="dxa" w:w="3400"/>
          </w:tcPr>
          <w:p>
            <w:r>
              <w:t>AI4Bharat models</w:t>
            </w:r>
          </w:p>
        </w:tc>
        <w:tc>
          <w:tcPr>
            <w:tcW w:type="dxa" w:w="3400"/>
          </w:tcPr>
          <w:p>
            <w:r/>
            <w:hyperlink r:id="rId33">
              <w:r>
                <w:rPr>
                  <w:color w:val="0563C1"/>
                  <w:u w:val="single"/>
                </w:rPr>
                <w:t>ai4bharat.iitm.ac.in</w:t>
              </w:r>
            </w:hyperlink>
          </w:p>
        </w:tc>
        <w:tc>
          <w:tcPr>
            <w:tcW w:type="dxa" w:w="4800"/>
          </w:tcPr>
          <w:p>
            <w:r>
              <w:t>Components (ASR/TTS/MT) with no communication layer.</w:t>
            </w:r>
          </w:p>
        </w:tc>
      </w:tr>
      <w:tr>
        <w:tc>
          <w:tcPr>
            <w:tcW w:type="dxa" w:w="3400"/>
          </w:tcPr>
          <w:p>
            <w:r>
              <w:t>Codec 2 / FreeDV</w:t>
            </w:r>
          </w:p>
        </w:tc>
        <w:tc>
          <w:tcPr>
            <w:tcW w:type="dxa" w:w="3400"/>
          </w:tcPr>
          <w:p>
            <w:r/>
            <w:hyperlink r:id="rId39">
              <w:r>
                <w:rPr>
                  <w:color w:val="0563C1"/>
                  <w:u w:val="single"/>
                </w:rPr>
                <w:t>github.com/drowe67/codec2</w:t>
              </w:r>
            </w:hyperlink>
          </w:p>
        </w:tc>
        <w:tc>
          <w:tcPr>
            <w:tcW w:type="dxa" w:w="4800"/>
          </w:tcPr>
          <w:p>
            <w:r>
              <w:t>The narrow-link voice baseline to beat.</w:t>
            </w:r>
          </w:p>
        </w:tc>
      </w:tr>
      <w:tr>
        <w:tc>
          <w:tcPr>
            <w:tcW w:type="dxa" w:w="3400"/>
          </w:tcPr>
          <w:p>
            <w:r>
              <w:t>STCTS (preprint)</w:t>
            </w:r>
          </w:p>
        </w:tc>
        <w:tc>
          <w:tcPr>
            <w:tcW w:type="dxa" w:w="3400"/>
          </w:tcPr>
          <w:p>
            <w:r/>
            <w:hyperlink r:id="rId22">
              <w:r>
                <w:rPr>
                  <w:color w:val="0563C1"/>
                  <w:u w:val="single"/>
                </w:rPr>
                <w:t>arXiv:2512.00451</w:t>
              </w:r>
            </w:hyperlink>
          </w:p>
        </w:tc>
        <w:tc>
          <w:tcPr>
            <w:tcW w:type="dxa" w:w="4800"/>
          </w:tcPr>
          <w:p>
            <w:r>
              <w:t>Same text+prosody idea; not Indic, not on phones.</w:t>
            </w:r>
          </w:p>
        </w:tc>
      </w:tr>
    </w:tbl>
    <w:p>
      <w:pPr>
        <w:pStyle w:val="Heading1"/>
      </w:pPr>
      <w:r>
        <w:t>9. Our measured results (from this implementation)</w:t>
      </w:r>
    </w:p>
    <w:p>
      <w:pPr>
        <w:spacing w:after="120"/>
      </w:pPr>
      <w:r>
        <w:rPr>
          <w:b w:val="0"/>
          <w:sz w:val="22"/>
        </w:rPr>
        <w:t>Every number below is produced by tools/bench or the test suites; the files are in tools/bench/results and the evidence is in TASKS.md.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0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460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Source file</w:t>
            </w:r>
          </w:p>
        </w:tc>
      </w:tr>
      <w:tr>
        <w:tc>
          <w:tcPr>
            <w:tcW w:type="dxa" w:w="4400"/>
          </w:tcPr>
          <w:p>
            <w:r>
              <w:t>Script-aware coding vs UTF-8</w:t>
            </w:r>
          </w:p>
        </w:tc>
        <w:tc>
          <w:tcPr>
            <w:tcW w:type="dxa" w:w="4600"/>
          </w:tcPr>
          <w:p>
            <w:r>
              <w:t>937 B vs 2117 B over 28 sentences (avg 33 B/sentence)</w:t>
            </w:r>
          </w:p>
        </w:tc>
        <w:tc>
          <w:tcPr>
            <w:tcW w:type="dxa" w:w="3400"/>
          </w:tcPr>
          <w:p>
            <w:r>
              <w:t>tools/bench/results/size.csv</w:t>
            </w:r>
          </w:p>
        </w:tc>
      </w:tr>
      <w:tr>
        <w:tc>
          <w:tcPr>
            <w:tcW w:type="dxa" w:w="4400"/>
          </w:tcPr>
          <w:p>
            <w:r>
              <w:t>Preset alerts</w:t>
            </w:r>
          </w:p>
        </w:tc>
        <w:tc>
          <w:tcPr>
            <w:tcW w:type="dxa" w:w="4600"/>
          </w:tcPr>
          <w:p>
            <w:r>
              <w:t>3 bytes each (codebook reference)</w:t>
            </w:r>
          </w:p>
        </w:tc>
        <w:tc>
          <w:tcPr>
            <w:tcW w:type="dxa" w:w="3400"/>
          </w:tcPr>
          <w:p>
            <w:r>
              <w:t>tools/bench/results/size.csv</w:t>
            </w:r>
          </w:p>
        </w:tc>
      </w:tr>
      <w:tr>
        <w:tc>
          <w:tcPr>
            <w:tcW w:type="dxa" w:w="4400"/>
          </w:tcPr>
          <w:p>
            <w:r>
              <w:t>Reliable vs fire-and-forget at 30% loss (1 kbps)</w:t>
            </w:r>
          </w:p>
        </w:tc>
        <w:tc>
          <w:tcPr>
            <w:tcW w:type="dxa" w:w="4600"/>
          </w:tcPr>
          <w:p>
            <w:r>
              <w:t>100% vs 69%</w:t>
            </w:r>
          </w:p>
        </w:tc>
        <w:tc>
          <w:tcPr>
            <w:tcW w:type="dxa" w:w="3400"/>
          </w:tcPr>
          <w:p>
            <w:r>
              <w:t>tools/bench/results/link.csv</w:t>
            </w:r>
          </w:p>
        </w:tc>
      </w:tr>
      <w:tr>
        <w:tc>
          <w:tcPr>
            <w:tcW w:type="dxa" w:w="4400"/>
          </w:tcPr>
          <w:p>
            <w:r>
              <w:t>Duplicate receipts absorbed; duplicate playbacks</w:t>
            </w:r>
          </w:p>
        </w:tc>
        <w:tc>
          <w:tcPr>
            <w:tcW w:type="dxa" w:w="4600"/>
          </w:tcPr>
          <w:p>
            <w:r>
              <w:t>13,068 absorbed; 0 playbacks (dedupe window)</w:t>
            </w:r>
          </w:p>
        </w:tc>
        <w:tc>
          <w:tcPr>
            <w:tcW w:type="dxa" w:w="3400"/>
          </w:tcPr>
          <w:p>
            <w:r>
              <w:t>tools/bench/results/link.csv + ProtocolSessionTest</w:t>
            </w:r>
          </w:p>
        </w:tc>
      </w:tr>
      <w:tr>
        <w:tc>
          <w:tcPr>
            <w:tcW w:type="dxa" w:w="4400"/>
          </w:tcPr>
          <w:p>
            <w:r>
              <w:t>Test suites</w:t>
            </w:r>
          </w:p>
        </w:tc>
        <w:tc>
          <w:tcPr>
            <w:tcW w:type="dxa" w:w="4600"/>
          </w:tcPr>
          <w:p>
            <w:r>
              <w:t>59 Kotlin JVM, 42 TypeScript, 7 web, 5 Playwright</w:t>
            </w:r>
          </w:p>
        </w:tc>
        <w:tc>
          <w:tcPr>
            <w:tcW w:type="dxa" w:w="3400"/>
          </w:tcPr>
          <w:p>
            <w:r>
              <w:t>TASKS.md</w:t>
            </w:r>
          </w:p>
        </w:tc>
      </w:tr>
      <w:tr>
        <w:tc>
          <w:tcPr>
            <w:tcW w:type="dxa" w:w="4400"/>
          </w:tcPr>
          <w:p>
            <w:r>
              <w:t>Release APK</w:t>
            </w:r>
          </w:p>
        </w:tc>
        <w:tc>
          <w:tcPr>
            <w:tcW w:type="dxa" w:w="4600"/>
          </w:tcPr>
          <w:p>
            <w:r>
              <w:t>40.5 MB, 0 INTERNET, signed CN=iTantra</w:t>
            </w:r>
          </w:p>
        </w:tc>
        <w:tc>
          <w:tcPr>
            <w:tcW w:type="dxa" w:w="3400"/>
          </w:tcPr>
          <w:p>
            <w:r>
              <w:t>apps/mobile/android/.../app-release.apk</w:t>
            </w:r>
          </w:p>
        </w:tc>
      </w:tr>
    </w:tbl>
    <w:p>
      <w:pPr>
        <w:pStyle w:val="Heading1"/>
      </w:pPr>
      <w:r>
        <w:t>10. Claims to avoid (from the research PDF, section 16)</w:t>
      </w:r>
    </w:p>
    <w:p>
      <w:pPr>
        <w:pStyle w:val="ListBullet"/>
      </w:pPr>
      <w:r>
        <w:t>Do not claim a WER/CER without a results row for that language, device and condition.</w:t>
      </w:r>
    </w:p>
    <w:p>
      <w:pPr>
        <w:pStyle w:val="ListBullet"/>
      </w:pPr>
      <w:r>
        <w:t>Do not say 'supports all ten languages' unless all ten are verified; state which are experimental.</w:t>
      </w:r>
    </w:p>
    <w:p>
      <w:pPr>
        <w:pStyle w:val="ListBullet"/>
      </w:pPr>
      <w:r>
        <w:t>Do not say '98% smaller than audio' without naming the baseline; against Codec2 700C the gain is much smaller.</w:t>
      </w:r>
    </w:p>
    <w:p>
      <w:pPr>
        <w:pStyle w:val="ListBullet"/>
      </w:pPr>
      <w:r>
        <w:t>Do not claim 'no internet' until the release manifest is verified to have no INTERNET permission (we strip it; verify).</w:t>
      </w:r>
    </w:p>
    <w:p>
      <w:pPr>
        <w:pStyle w:val="ListBullet"/>
      </w:pPr>
      <w:r>
        <w:t>Do not claim zero latency or real-time voice; report measured, labelled latency.</w:t>
      </w:r>
    </w:p>
    <w:p>
      <w:pPr>
        <w:pStyle w:val="ListBullet"/>
      </w:pPr>
      <w:r>
        <w:t>Do not claim range in metres, mesh or multi-hop unless tested.</w:t>
      </w:r>
    </w:p>
    <w:p>
      <w:pPr>
        <w:pStyle w:val="ListBullet"/>
      </w:pPr>
      <w:r>
        <w:t>Do not claim perfect recognition or that errors cannot happen.</w:t>
      </w:r>
    </w:p>
    <w:p>
      <w:pPr>
        <w:pStyle w:val="ListBullet"/>
      </w:pPr>
      <w:r>
        <w:t>Do not claim translation (the core has none) or security beyond the stated handshake.</w:t>
      </w:r>
    </w:p>
    <w:p>
      <w:pPr>
        <w:pStyle w:val="ListBullet"/>
      </w:pPr>
      <w:r>
        <w:t>Do not claim real-disaster or field validation, or that synthetic-noise results represent real noise.</w:t>
      </w:r>
    </w:p>
    <w:p>
      <w:pPr>
        <w:spacing w:after="120"/>
      </w:pPr>
      <w:r>
        <w:rPr>
          <w:b/>
          <w:sz w:val="20"/>
        </w:rPr>
        <w:t>Reminder: this prototype is build-complete but not field-verified. On-device speech models and the two-phone link must be tested on hardware before any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ih.gov.in/" TargetMode="External"/><Relationship Id="rId10" Type="http://schemas.openxmlformats.org/officeDocument/2006/relationships/hyperlink" Target="https://arxiv.org/abs/2104.00355" TargetMode="External"/><Relationship Id="rId11" Type="http://schemas.openxmlformats.org/officeDocument/2006/relationships/hyperlink" Target="https://arxiv.org/abs/2305.13516" TargetMode="External"/><Relationship Id="rId12" Type="http://schemas.openxmlformats.org/officeDocument/2006/relationships/hyperlink" Target="https://arxiv.org/abs/2403.01926" TargetMode="External"/><Relationship Id="rId13" Type="http://schemas.openxmlformats.org/officeDocument/2006/relationships/hyperlink" Target="https://arxiv.org/abs/2409.05356" TargetMode="External"/><Relationship Id="rId14" Type="http://schemas.openxmlformats.org/officeDocument/2006/relationships/hyperlink" Target="https://arxiv.org/abs/2305.16307" TargetMode="External"/><Relationship Id="rId15" Type="http://schemas.openxmlformats.org/officeDocument/2006/relationships/hyperlink" Target="https://arxiv.org/abs/2506.01731" TargetMode="External"/><Relationship Id="rId16" Type="http://schemas.openxmlformats.org/officeDocument/2006/relationships/hyperlink" Target="https://arxiv.org/abs/2005.08100" TargetMode="External"/><Relationship Id="rId17" Type="http://schemas.openxmlformats.org/officeDocument/2006/relationships/hyperlink" Target="https://arxiv.org/abs/2106.06103" TargetMode="External"/><Relationship Id="rId18" Type="http://schemas.openxmlformats.org/officeDocument/2006/relationships/hyperlink" Target="https://arxiv.org/abs/2212.04356" TargetMode="External"/><Relationship Id="rId19" Type="http://schemas.openxmlformats.org/officeDocument/2006/relationships/hyperlink" Target="https://arxiv.org/abs/2205.12446" TargetMode="External"/><Relationship Id="rId20" Type="http://schemas.openxmlformats.org/officeDocument/2006/relationships/hyperlink" Target="https://arxiv.org/abs/2106.07447" TargetMode="External"/><Relationship Id="rId21" Type="http://schemas.openxmlformats.org/officeDocument/2006/relationships/hyperlink" Target="https://arxiv.org/abs/2006.11477" TargetMode="External"/><Relationship Id="rId22" Type="http://schemas.openxmlformats.org/officeDocument/2006/relationships/hyperlink" Target="https://arxiv.org/abs/2512.00451" TargetMode="External"/><Relationship Id="rId23" Type="http://schemas.openxmlformats.org/officeDocument/2006/relationships/hyperlink" Target="https://arxiv.org/abs/2509.15462" TargetMode="External"/><Relationship Id="rId24" Type="http://schemas.openxmlformats.org/officeDocument/2006/relationships/hyperlink" Target="https://arxiv.org/abs/2411.04699" TargetMode="External"/><Relationship Id="rId25" Type="http://schemas.openxmlformats.org/officeDocument/2006/relationships/hyperlink" Target="https://arxiv.org/abs/2505.18609" TargetMode="External"/><Relationship Id="rId26" Type="http://schemas.openxmlformats.org/officeDocument/2006/relationships/hyperlink" Target="https://arxiv.org/abs/2604.14493" TargetMode="External"/><Relationship Id="rId27" Type="http://schemas.openxmlformats.org/officeDocument/2006/relationships/hyperlink" Target="https://arxiv.org/abs/2606.02548" TargetMode="External"/><Relationship Id="rId28" Type="http://schemas.openxmlformats.org/officeDocument/2006/relationships/hyperlink" Target="https://huggingface.co/ai4bharat/indicconformer_stt_hi_hybrid_ctc_rnnt_large" TargetMode="External"/><Relationship Id="rId29" Type="http://schemas.openxmlformats.org/officeDocument/2006/relationships/hyperlink" Target="https://huggingface.co/ai4bharat/indic-conformer-600m-multilingual" TargetMode="External"/><Relationship Id="rId30" Type="http://schemas.openxmlformats.org/officeDocument/2006/relationships/hyperlink" Target="https://github.com/rhasspy/piper" TargetMode="External"/><Relationship Id="rId31" Type="http://schemas.openxmlformats.org/officeDocument/2006/relationships/hyperlink" Target="https://github.com/k2-fsa/sherpa-onnx" TargetMode="External"/><Relationship Id="rId32" Type="http://schemas.openxmlformats.org/officeDocument/2006/relationships/hyperlink" Target="https://github.com/snakers4/silero-vad" TargetMode="External"/><Relationship Id="rId33" Type="http://schemas.openxmlformats.org/officeDocument/2006/relationships/hyperlink" Target="https://ai4bharat.iitm.ac.in/" TargetMode="External"/><Relationship Id="rId34" Type="http://schemas.openxmlformats.org/officeDocument/2006/relationships/hyperlink" Target="https://github.com/tink-crypto/tink-java" TargetMode="External"/><Relationship Id="rId35" Type="http://schemas.openxmlformats.org/officeDocument/2006/relationships/hyperlink" Target="https://protobuf.dev/" TargetMode="External"/><Relationship Id="rId36" Type="http://schemas.openxmlformats.org/officeDocument/2006/relationships/hyperlink" Target="https://commonvoice.mozilla.org/" TargetMode="External"/><Relationship Id="rId37" Type="http://schemas.openxmlformats.org/officeDocument/2006/relationships/hyperlink" Target="https://www.rfc-editor.org/rfc/rfc9171.html" TargetMode="External"/><Relationship Id="rId38" Type="http://schemas.openxmlformats.org/officeDocument/2006/relationships/hyperlink" Target="https://www.rfc-editor.org/rfc/rfc6716.html" TargetMode="External"/><Relationship Id="rId39" Type="http://schemas.openxmlformats.org/officeDocument/2006/relationships/hyperlink" Target="https://github.com/drowe67/codec2" TargetMode="External"/><Relationship Id="rId40" Type="http://schemas.openxmlformats.org/officeDocument/2006/relationships/hyperlink" Target="https://github.com/google/lyra" TargetMode="External"/><Relationship Id="rId41" Type="http://schemas.openxmlformats.org/officeDocument/2006/relationships/hyperlink" Target="https://www.rfc-editor.org/rfc/rfc8439.html" TargetMode="External"/><Relationship Id="rId42" Type="http://schemas.openxmlformats.org/officeDocument/2006/relationships/hyperlink" Target="https://www.rfc-editor.org/rfc/rfc8032.html" TargetMode="External"/><Relationship Id="rId43" Type="http://schemas.openxmlformats.org/officeDocument/2006/relationships/hyperlink" Target="https://www.rfc-editor.org/rfc/rfc7748.html" TargetMode="External"/><Relationship Id="rId44" Type="http://schemas.openxmlformats.org/officeDocument/2006/relationships/hyperlink" Target="https://www.rfc-editor.org/rfc/rfc5869.html" TargetMode="External"/><Relationship Id="rId45" Type="http://schemas.openxmlformats.org/officeDocument/2006/relationships/hyperlink" Target="https://developer.android.com/reference/android/bluetooth/BluetoothSocket" TargetMode="External"/><Relationship Id="rId46" Type="http://schemas.openxmlformats.org/officeDocument/2006/relationships/hyperlink" Target="https://developer.android.com/develop/connectivity/wifi/wifip2p" TargetMode="External"/><Relationship Id="rId47" Type="http://schemas.openxmlformats.org/officeDocument/2006/relationships/hyperlink" Target="https://developers.google.com/nearby/connections/overview" TargetMode="External"/><Relationship Id="rId48" Type="http://schemas.openxmlformats.org/officeDocument/2006/relationships/hyperlink" Target="https://developer.android.com/develop/background-work/services/fgs/service-types" TargetMode="External"/><Relationship Id="rId49" Type="http://schemas.openxmlformats.org/officeDocument/2006/relationships/hyperlink" Target="https://meshtastic.org/" TargetMode="External"/><Relationship Id="rId50" Type="http://schemas.openxmlformats.org/officeDocument/2006/relationships/hyperlink" Target="https://support.google.com/translate/" TargetMode="External"/><Relationship Id="rId51" Type="http://schemas.openxmlformats.org/officeDocument/2006/relationships/hyperlink" Target="https://bhashini.gov.in/" TargetMode="External"/><Relationship Id="rId52" Type="http://schemas.openxmlformats.org/officeDocument/2006/relationships/hyperlink" Target="https://briar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