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C58BB">
      <w:pPr>
        <w:spacing w:before="1200" w:after="120"/>
        <w:jc w:val="center"/>
      </w:pPr>
      <w:r>
        <w:rPr>
          <w:rFonts w:ascii="Arial" w:hAnsi="Arial" w:eastAsia="Arial" w:cs="Arial"/>
          <w:b/>
          <w:bCs/>
          <w:color w:val="1A3A5C"/>
          <w:sz w:val="56"/>
          <w:szCs w:val="56"/>
        </w:rPr>
        <w:t>MAGIC Pipeline</w:t>
      </w:r>
    </w:p>
    <w:p w14:paraId="59B6D95F">
      <w:pPr>
        <w:spacing w:before="0" w:after="60"/>
        <w:jc w:val="center"/>
      </w:pPr>
      <w:r>
        <w:rPr>
          <w:rFonts w:ascii="Arial" w:hAnsi="Arial" w:eastAsia="Arial" w:cs="Arial"/>
          <w:color w:val="2E75B6"/>
          <w:sz w:val="32"/>
          <w:szCs w:val="32"/>
        </w:rPr>
        <w:t>Automated Essay Scoring Analysis Report</w:t>
      </w:r>
    </w:p>
    <w:p w14:paraId="148F4FC5">
      <w:pPr>
        <w:spacing w:before="0" w:after="60"/>
        <w:jc w:val="center"/>
        <w:rPr>
          <w:rFonts w:ascii="Arial" w:hAnsi="Arial" w:eastAsia="Arial" w:cs="Arial"/>
          <w:i/>
          <w:iCs/>
          <w:color w:val="555555"/>
          <w:sz w:val="22"/>
          <w:szCs w:val="22"/>
        </w:rPr>
      </w:pPr>
      <w:r>
        <w:rPr>
          <w:rFonts w:ascii="Arial" w:hAnsi="Arial" w:eastAsia="Arial" w:cs="Arial"/>
          <w:i/>
          <w:iCs/>
          <w:color w:val="555555"/>
          <w:sz w:val="22"/>
          <w:szCs w:val="22"/>
        </w:rPr>
        <w:t>Evaluating Multi-Agent Pipeline Performance on the ASAP Dataset</w:t>
      </w:r>
    </w:p>
    <w:p w14:paraId="58D2C60B">
      <w:pPr>
        <w:spacing w:before="0" w:after="60"/>
        <w:jc w:val="center"/>
        <w:rPr>
          <w:rFonts w:ascii="Arial" w:hAnsi="Arial" w:eastAsia="Arial" w:cs="Arial"/>
          <w:i/>
          <w:iCs/>
          <w:color w:val="555555"/>
          <w:sz w:val="22"/>
          <w:szCs w:val="22"/>
        </w:rPr>
      </w:pPr>
    </w:p>
    <w:p w14:paraId="1AF5D9C3">
      <w:pPr>
        <w:spacing w:before="0" w:after="60"/>
        <w:jc w:val="center"/>
        <w:rPr>
          <w:rFonts w:ascii="Arial" w:hAnsi="Arial" w:eastAsia="Arial" w:cs="Arial"/>
          <w:i/>
          <w:iCs/>
          <w:color w:val="555555"/>
          <w:sz w:val="22"/>
          <w:szCs w:val="22"/>
        </w:rPr>
      </w:pPr>
    </w:p>
    <w:p w14:paraId="2D9A0CDE">
      <w:pPr>
        <w:spacing w:before="0" w:after="60"/>
        <w:jc w:val="center"/>
        <w:rPr>
          <w:rFonts w:ascii="Arial" w:hAnsi="Arial" w:eastAsia="Arial" w:cs="Arial"/>
          <w:i/>
          <w:iCs/>
          <w:color w:val="555555"/>
          <w:sz w:val="22"/>
          <w:szCs w:val="22"/>
        </w:rPr>
      </w:pPr>
    </w:p>
    <w:p w14:paraId="283B7A4C">
      <w:pPr>
        <w:spacing w:before="0" w:after="60"/>
        <w:jc w:val="center"/>
        <w:rPr>
          <w:rFonts w:ascii="Arial" w:hAnsi="Arial" w:eastAsia="Arial" w:cs="Arial"/>
          <w:i/>
          <w:iCs/>
          <w:color w:val="555555"/>
          <w:sz w:val="22"/>
          <w:szCs w:val="22"/>
        </w:rPr>
      </w:pPr>
    </w:p>
    <w:p w14:paraId="22B33D67">
      <w:pPr>
        <w:spacing w:before="0" w:after="60"/>
        <w:jc w:val="center"/>
        <w:rPr>
          <w:rFonts w:ascii="Arial" w:hAnsi="Arial" w:eastAsia="Arial" w:cs="Arial"/>
          <w:i/>
          <w:iCs/>
          <w:color w:val="555555"/>
          <w:sz w:val="22"/>
          <w:szCs w:val="22"/>
        </w:rPr>
      </w:pPr>
    </w:p>
    <w:p w14:paraId="137F38C8">
      <w:pPr>
        <w:spacing w:before="0" w:after="60"/>
        <w:jc w:val="center"/>
        <w:rPr>
          <w:rFonts w:ascii="Arial" w:hAnsi="Arial" w:eastAsia="Arial" w:cs="Arial"/>
          <w:i/>
          <w:iCs/>
          <w:color w:val="555555"/>
          <w:sz w:val="22"/>
          <w:szCs w:val="22"/>
        </w:rPr>
      </w:pPr>
    </w:p>
    <w:p w14:paraId="4E57EAF5">
      <w:pPr>
        <w:spacing w:before="0" w:after="60"/>
        <w:jc w:val="center"/>
        <w:rPr>
          <w:rFonts w:ascii="Arial" w:hAnsi="Arial" w:eastAsia="Arial" w:cs="Arial"/>
          <w:i/>
          <w:iCs/>
          <w:color w:val="555555"/>
          <w:sz w:val="22"/>
          <w:szCs w:val="22"/>
        </w:rPr>
      </w:pPr>
    </w:p>
    <w:p w14:paraId="1171E8C1">
      <w:pPr>
        <w:spacing w:before="0" w:after="60"/>
        <w:jc w:val="center"/>
        <w:rPr>
          <w:rFonts w:ascii="Arial" w:hAnsi="Arial" w:eastAsia="Arial" w:cs="Arial"/>
          <w:i/>
          <w:iCs/>
          <w:color w:val="555555"/>
          <w:sz w:val="22"/>
          <w:szCs w:val="22"/>
        </w:rPr>
      </w:pPr>
    </w:p>
    <w:p w14:paraId="68F1921E">
      <w:pPr>
        <w:spacing w:before="0" w:after="60"/>
        <w:jc w:val="center"/>
        <w:rPr>
          <w:rFonts w:ascii="Arial" w:hAnsi="Arial" w:eastAsia="Arial" w:cs="Arial"/>
          <w:i/>
          <w:iCs/>
          <w:color w:val="555555"/>
          <w:sz w:val="22"/>
          <w:szCs w:val="22"/>
        </w:rPr>
      </w:pPr>
    </w:p>
    <w:p w14:paraId="3171533E">
      <w:pPr>
        <w:spacing w:before="0" w:after="60"/>
        <w:jc w:val="center"/>
        <w:rPr>
          <w:rFonts w:ascii="Arial" w:hAnsi="Arial" w:eastAsia="Arial" w:cs="Arial"/>
          <w:i/>
          <w:iCs/>
          <w:color w:val="555555"/>
          <w:sz w:val="22"/>
          <w:szCs w:val="22"/>
        </w:rPr>
      </w:pPr>
    </w:p>
    <w:p w14:paraId="7B1AC8E9">
      <w:pPr>
        <w:spacing w:before="0" w:after="60"/>
        <w:jc w:val="center"/>
        <w:rPr>
          <w:rFonts w:ascii="Arial" w:hAnsi="Arial" w:eastAsia="Arial" w:cs="Arial"/>
          <w:i/>
          <w:iCs/>
          <w:color w:val="555555"/>
          <w:sz w:val="22"/>
          <w:szCs w:val="22"/>
        </w:rPr>
      </w:pPr>
    </w:p>
    <w:p w14:paraId="61D3168D">
      <w:pPr>
        <w:spacing w:before="0" w:after="60"/>
        <w:jc w:val="center"/>
        <w:rPr>
          <w:rFonts w:ascii="Arial" w:hAnsi="Arial" w:eastAsia="Arial" w:cs="Arial"/>
          <w:i/>
          <w:iCs/>
          <w:color w:val="555555"/>
          <w:sz w:val="22"/>
          <w:szCs w:val="22"/>
        </w:rPr>
      </w:pPr>
    </w:p>
    <w:p w14:paraId="2B1A2B7F">
      <w:pPr>
        <w:spacing w:before="0" w:after="60"/>
        <w:jc w:val="center"/>
        <w:rPr>
          <w:rFonts w:ascii="Arial" w:hAnsi="Arial" w:eastAsia="Arial" w:cs="Arial"/>
          <w:i/>
          <w:iCs/>
          <w:color w:val="555555"/>
          <w:sz w:val="22"/>
          <w:szCs w:val="22"/>
        </w:rPr>
      </w:pPr>
    </w:p>
    <w:p w14:paraId="4933980F">
      <w:pPr>
        <w:spacing w:before="0" w:after="60"/>
        <w:jc w:val="center"/>
        <w:rPr>
          <w:rFonts w:ascii="Arial" w:hAnsi="Arial" w:eastAsia="Arial" w:cs="Arial"/>
          <w:i/>
          <w:iCs/>
          <w:color w:val="555555"/>
          <w:sz w:val="22"/>
          <w:szCs w:val="22"/>
        </w:rPr>
      </w:pPr>
    </w:p>
    <w:p w14:paraId="23A4F001">
      <w:pPr>
        <w:spacing w:before="0" w:after="60"/>
        <w:jc w:val="center"/>
        <w:rPr>
          <w:rFonts w:ascii="Arial" w:hAnsi="Arial" w:eastAsia="Arial" w:cs="Arial"/>
          <w:i/>
          <w:iCs/>
          <w:color w:val="555555"/>
          <w:sz w:val="22"/>
          <w:szCs w:val="22"/>
        </w:rPr>
      </w:pPr>
    </w:p>
    <w:p w14:paraId="7D98EE10">
      <w:pPr>
        <w:spacing w:before="0" w:after="60"/>
        <w:jc w:val="center"/>
        <w:rPr>
          <w:rFonts w:ascii="Arial" w:hAnsi="Arial" w:eastAsia="Arial" w:cs="Arial"/>
          <w:i/>
          <w:iCs/>
          <w:color w:val="555555"/>
          <w:sz w:val="22"/>
          <w:szCs w:val="22"/>
        </w:rPr>
      </w:pPr>
    </w:p>
    <w:p w14:paraId="29467908">
      <w:pPr>
        <w:spacing w:before="0" w:after="60"/>
        <w:jc w:val="center"/>
        <w:rPr>
          <w:rFonts w:ascii="Arial" w:hAnsi="Arial" w:eastAsia="Arial" w:cs="Arial"/>
          <w:i/>
          <w:iCs/>
          <w:color w:val="555555"/>
          <w:sz w:val="22"/>
          <w:szCs w:val="22"/>
        </w:rPr>
      </w:pPr>
    </w:p>
    <w:p w14:paraId="03873D3A">
      <w:pPr>
        <w:spacing w:before="0" w:after="60"/>
        <w:jc w:val="center"/>
        <w:rPr>
          <w:rFonts w:ascii="Arial" w:hAnsi="Arial" w:eastAsia="Arial" w:cs="Arial"/>
          <w:i/>
          <w:iCs/>
          <w:color w:val="555555"/>
          <w:sz w:val="22"/>
          <w:szCs w:val="22"/>
        </w:rPr>
      </w:pPr>
    </w:p>
    <w:p w14:paraId="41CD95E9">
      <w:pPr>
        <w:spacing w:before="0" w:after="60"/>
        <w:jc w:val="center"/>
        <w:rPr>
          <w:rFonts w:ascii="Arial" w:hAnsi="Arial" w:eastAsia="Arial" w:cs="Arial"/>
          <w:i/>
          <w:iCs/>
          <w:color w:val="555555"/>
          <w:sz w:val="22"/>
          <w:szCs w:val="22"/>
        </w:rPr>
      </w:pPr>
    </w:p>
    <w:p w14:paraId="50CEF596">
      <w:pPr>
        <w:spacing w:before="0" w:after="60"/>
        <w:jc w:val="center"/>
        <w:rPr>
          <w:rFonts w:ascii="Arial" w:hAnsi="Arial" w:eastAsia="Arial" w:cs="Arial"/>
          <w:i/>
          <w:iCs/>
          <w:color w:val="555555"/>
          <w:sz w:val="22"/>
          <w:szCs w:val="22"/>
        </w:rPr>
      </w:pPr>
    </w:p>
    <w:p w14:paraId="47C3E1AB">
      <w:pPr>
        <w:spacing w:before="0" w:after="60"/>
        <w:jc w:val="center"/>
        <w:rPr>
          <w:rFonts w:ascii="Arial" w:hAnsi="Arial" w:eastAsia="Arial" w:cs="Arial"/>
          <w:i/>
          <w:iCs/>
          <w:color w:val="555555"/>
          <w:sz w:val="22"/>
          <w:szCs w:val="22"/>
        </w:rPr>
      </w:pPr>
    </w:p>
    <w:p w14:paraId="1FE1D4B2">
      <w:pPr>
        <w:spacing w:before="0" w:after="60"/>
        <w:jc w:val="center"/>
        <w:rPr>
          <w:rFonts w:ascii="Arial" w:hAnsi="Arial" w:eastAsia="Arial" w:cs="Arial"/>
          <w:i/>
          <w:iCs/>
          <w:color w:val="555555"/>
          <w:sz w:val="22"/>
          <w:szCs w:val="22"/>
        </w:rPr>
      </w:pPr>
    </w:p>
    <w:p w14:paraId="20804861">
      <w:pPr>
        <w:spacing w:before="0" w:after="60"/>
        <w:jc w:val="center"/>
        <w:rPr>
          <w:rFonts w:ascii="Arial" w:hAnsi="Arial" w:eastAsia="Arial" w:cs="Arial"/>
          <w:i/>
          <w:iCs/>
          <w:color w:val="555555"/>
          <w:sz w:val="22"/>
          <w:szCs w:val="22"/>
        </w:rPr>
      </w:pPr>
    </w:p>
    <w:p w14:paraId="32B4A48E">
      <w:pPr>
        <w:spacing w:before="0" w:after="60"/>
        <w:jc w:val="both"/>
        <w:rPr>
          <w:rFonts w:ascii="Arial" w:hAnsi="Arial" w:eastAsia="Arial" w:cs="Arial"/>
          <w:i/>
          <w:iCs/>
          <w:color w:val="555555"/>
          <w:sz w:val="22"/>
          <w:szCs w:val="22"/>
        </w:rPr>
      </w:pPr>
    </w:p>
    <w:p w14:paraId="5BC1D8FB">
      <w:pPr>
        <w:spacing w:before="0" w:after="60"/>
        <w:jc w:val="both"/>
        <w:rPr>
          <w:rFonts w:ascii="Arial" w:hAnsi="Arial" w:eastAsia="Arial" w:cs="Arial"/>
          <w:i/>
          <w:iCs/>
          <w:color w:val="555555"/>
          <w:sz w:val="22"/>
          <w:szCs w:val="22"/>
        </w:rPr>
      </w:pPr>
    </w:p>
    <w:p w14:paraId="3C2F98A4">
      <w:pPr>
        <w:spacing w:before="0" w:after="60"/>
        <w:jc w:val="both"/>
        <w:rPr>
          <w:rFonts w:ascii="Arial" w:hAnsi="Arial" w:eastAsia="Arial" w:cs="Arial"/>
          <w:i/>
          <w:iCs/>
          <w:color w:val="555555"/>
          <w:sz w:val="22"/>
          <w:szCs w:val="22"/>
        </w:rPr>
      </w:pPr>
    </w:p>
    <w:p w14:paraId="0434FEC5">
      <w:pPr>
        <w:spacing w:before="0" w:after="60"/>
        <w:jc w:val="both"/>
        <w:rPr>
          <w:rFonts w:ascii="Arial" w:hAnsi="Arial" w:eastAsia="Arial" w:cs="Arial"/>
          <w:i/>
          <w:iCs/>
          <w:color w:val="555555"/>
          <w:sz w:val="22"/>
          <w:szCs w:val="22"/>
        </w:rPr>
      </w:pPr>
    </w:p>
    <w:p w14:paraId="7D1C5EB6">
      <w:pPr>
        <w:spacing w:before="0" w:after="60"/>
        <w:jc w:val="both"/>
        <w:rPr>
          <w:rFonts w:ascii="Arial" w:hAnsi="Arial" w:eastAsia="Arial" w:cs="Arial"/>
          <w:i/>
          <w:iCs/>
          <w:color w:val="555555"/>
          <w:sz w:val="22"/>
          <w:szCs w:val="22"/>
        </w:rPr>
      </w:pPr>
    </w:p>
    <w:p w14:paraId="6550246F">
      <w:pPr>
        <w:spacing w:before="0" w:after="60"/>
        <w:jc w:val="both"/>
        <w:rPr>
          <w:rFonts w:ascii="Arial" w:hAnsi="Arial" w:eastAsia="Arial" w:cs="Arial"/>
          <w:i/>
          <w:iCs/>
          <w:color w:val="555555"/>
          <w:sz w:val="22"/>
          <w:szCs w:val="22"/>
        </w:rPr>
      </w:pPr>
    </w:p>
    <w:p w14:paraId="704C20F6">
      <w:pPr>
        <w:spacing w:before="0" w:after="60"/>
        <w:jc w:val="both"/>
        <w:rPr>
          <w:rFonts w:ascii="Arial" w:hAnsi="Arial" w:eastAsia="Arial" w:cs="Arial"/>
          <w:i/>
          <w:iCs/>
          <w:color w:val="555555"/>
          <w:sz w:val="22"/>
          <w:szCs w:val="22"/>
        </w:rPr>
      </w:pPr>
    </w:p>
    <w:p w14:paraId="4F499BC4">
      <w:pPr>
        <w:spacing w:before="0" w:after="60"/>
        <w:jc w:val="both"/>
        <w:rPr>
          <w:rFonts w:ascii="Arial" w:hAnsi="Arial" w:eastAsia="Arial" w:cs="Arial"/>
          <w:i/>
          <w:iCs/>
          <w:color w:val="555555"/>
          <w:sz w:val="22"/>
          <w:szCs w:val="22"/>
        </w:rPr>
      </w:pPr>
    </w:p>
    <w:p w14:paraId="7E7EC0D7">
      <w:pPr>
        <w:spacing w:before="0" w:after="60"/>
        <w:jc w:val="center"/>
      </w:pPr>
      <w:r>
        <w:rPr>
          <w:rFonts w:hint="default" w:cs="Arial"/>
          <w:b/>
          <w:bCs/>
          <w:i w:val="0"/>
          <w:iCs w:val="0"/>
          <w:color w:val="555555"/>
          <w:sz w:val="28"/>
          <w:szCs w:val="28"/>
          <w:lang w:val="en-IN"/>
        </w:rPr>
        <w:t>Nikhil Yadav , Shamna Fathima</w:t>
      </w:r>
      <w:bookmarkStart w:id="0" w:name="_GoBack"/>
      <w:bookmarkEnd w:id="0"/>
      <w:r>
        <w:br w:type="page"/>
      </w:r>
    </w:p>
    <w:p w14:paraId="71EA8006">
      <w:pPr>
        <w:pStyle w:val="2"/>
        <w:spacing w:before="200" w:after="80"/>
      </w:pPr>
      <w:r>
        <w:t>1. Key Terms &amp; Metrics</w:t>
      </w:r>
    </w:p>
    <w:p w14:paraId="4F7CC1F3">
      <w:pPr>
        <w:pStyle w:val="3"/>
        <w:spacing w:before="160" w:after="60"/>
      </w:pPr>
      <w:r>
        <w:t>Scoring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000"/>
        <w:gridCol w:w="2360"/>
      </w:tblGrid>
      <w:tr w14:paraId="7565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372E4EDE">
            <w:pPr>
              <w:spacing w:before="0" w:after="0"/>
            </w:pPr>
            <w:r>
              <w:rPr>
                <w:rFonts w:ascii="Arial" w:hAnsi="Arial" w:eastAsia="Arial" w:cs="Arial"/>
                <w:b/>
                <w:bCs/>
                <w:color w:val="FFFFFF"/>
                <w:sz w:val="18"/>
                <w:szCs w:val="18"/>
              </w:rPr>
              <w:t>Metric</w:t>
            </w:r>
          </w:p>
        </w:tc>
        <w:tc>
          <w:tcPr>
            <w:tcW w:w="400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6C4AF545">
            <w:pPr>
              <w:spacing w:before="0" w:after="0"/>
            </w:pPr>
            <w:r>
              <w:rPr>
                <w:rFonts w:ascii="Arial" w:hAnsi="Arial" w:eastAsia="Arial" w:cs="Arial"/>
                <w:b/>
                <w:bCs/>
                <w:color w:val="FFFFFF"/>
                <w:sz w:val="18"/>
                <w:szCs w:val="18"/>
              </w:rPr>
              <w:t>Description</w:t>
            </w:r>
          </w:p>
        </w:tc>
        <w:tc>
          <w:tcPr>
            <w:tcW w:w="236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26C2708C">
            <w:pPr>
              <w:spacing w:before="0" w:after="0"/>
            </w:pPr>
            <w:r>
              <w:rPr>
                <w:rFonts w:ascii="Arial" w:hAnsi="Arial" w:eastAsia="Arial" w:cs="Arial"/>
                <w:b/>
                <w:bCs/>
                <w:color w:val="FFFFFF"/>
                <w:sz w:val="18"/>
                <w:szCs w:val="18"/>
              </w:rPr>
              <w:t>Target</w:t>
            </w:r>
          </w:p>
        </w:tc>
      </w:tr>
      <w:tr w14:paraId="23F2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132CA9CA">
            <w:pPr>
              <w:spacing w:before="0" w:after="0"/>
            </w:pPr>
            <w:r>
              <w:rPr>
                <w:rFonts w:ascii="Arial" w:hAnsi="Arial" w:eastAsia="Arial" w:cs="Arial"/>
                <w:sz w:val="18"/>
                <w:szCs w:val="18"/>
              </w:rPr>
              <w:t>QWK (Quadratic Weighted Kappa)</w:t>
            </w:r>
          </w:p>
        </w:tc>
        <w:tc>
          <w:tcPr>
            <w:tcW w:w="40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298E274C">
            <w:pPr>
              <w:spacing w:before="0" w:after="0"/>
            </w:pPr>
            <w:r>
              <w:rPr>
                <w:rFonts w:ascii="Arial" w:hAnsi="Arial" w:eastAsia="Arial" w:cs="Arial"/>
                <w:sz w:val="18"/>
                <w:szCs w:val="18"/>
              </w:rPr>
              <w:t>Primary metric. Measures AI vs human agreement. Penalises errors of 2+ grades heavily.</w:t>
            </w:r>
          </w:p>
        </w:tc>
        <w:tc>
          <w:tcPr>
            <w:tcW w:w="236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6819E173">
            <w:pPr>
              <w:spacing w:before="0" w:after="0"/>
            </w:pPr>
            <w:r>
              <w:rPr>
                <w:rFonts w:ascii="Arial" w:hAnsi="Arial" w:eastAsia="Arial" w:cs="Arial"/>
                <w:sz w:val="18"/>
                <w:szCs w:val="18"/>
              </w:rPr>
              <w:t>0.60+ for production use</w:t>
            </w:r>
          </w:p>
        </w:tc>
      </w:tr>
      <w:tr w14:paraId="49EE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787766D">
            <w:pPr>
              <w:spacing w:before="0" w:after="0"/>
            </w:pPr>
            <w:r>
              <w:rPr>
                <w:rFonts w:ascii="Arial" w:hAnsi="Arial" w:eastAsia="Arial" w:cs="Arial"/>
                <w:sz w:val="18"/>
                <w:szCs w:val="18"/>
              </w:rPr>
              <w:t>r (Pearson Correlation)</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9D53B79">
            <w:pPr>
              <w:spacing w:before="0" w:after="0"/>
            </w:pPr>
            <w:r>
              <w:rPr>
                <w:rFonts w:ascii="Arial" w:hAnsi="Arial" w:eastAsia="Arial" w:cs="Arial"/>
                <w:sz w:val="18"/>
                <w:szCs w:val="18"/>
              </w:rPr>
              <w:t>Measures directional agreement — when humans score high, does AI also score high?</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ED60D9C">
            <w:pPr>
              <w:spacing w:before="0" w:after="0"/>
            </w:pPr>
            <w:r>
              <w:rPr>
                <w:rFonts w:ascii="Arial" w:hAnsi="Arial" w:eastAsia="Arial" w:cs="Arial"/>
                <w:sz w:val="18"/>
                <w:szCs w:val="18"/>
              </w:rPr>
              <w:t>Higher is better</w:t>
            </w:r>
          </w:p>
        </w:tc>
      </w:tr>
      <w:tr w14:paraId="522E2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57E81BC5">
            <w:pPr>
              <w:spacing w:before="0" w:after="0"/>
            </w:pPr>
            <w:r>
              <w:rPr>
                <w:rFonts w:ascii="Arial" w:hAnsi="Arial" w:eastAsia="Arial" w:cs="Arial"/>
                <w:sz w:val="18"/>
                <w:szCs w:val="18"/>
              </w:rPr>
              <w:t>MAE (Mean Absolute Error)</w:t>
            </w:r>
          </w:p>
        </w:tc>
        <w:tc>
          <w:tcPr>
            <w:tcW w:w="40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07AD329A">
            <w:pPr>
              <w:spacing w:before="0" w:after="0"/>
            </w:pPr>
            <w:r>
              <w:rPr>
                <w:rFonts w:ascii="Arial" w:hAnsi="Arial" w:eastAsia="Arial" w:cs="Arial"/>
                <w:sz w:val="18"/>
                <w:szCs w:val="18"/>
              </w:rPr>
              <w:t>Average grade points off from human score.</w:t>
            </w:r>
          </w:p>
        </w:tc>
        <w:tc>
          <w:tcPr>
            <w:tcW w:w="236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11BD3179">
            <w:pPr>
              <w:spacing w:before="0" w:after="0"/>
            </w:pPr>
            <w:r>
              <w:rPr>
                <w:rFonts w:ascii="Arial" w:hAnsi="Arial" w:eastAsia="Arial" w:cs="Arial"/>
                <w:sz w:val="18"/>
                <w:szCs w:val="18"/>
              </w:rPr>
              <w:t>&lt; 1.0 on 0–6 scale</w:t>
            </w:r>
          </w:p>
        </w:tc>
      </w:tr>
      <w:tr w14:paraId="496A6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E46BF23">
            <w:pPr>
              <w:spacing w:before="0" w:after="0"/>
            </w:pPr>
            <w:r>
              <w:rPr>
                <w:rFonts w:ascii="Arial" w:hAnsi="Arial" w:eastAsia="Arial" w:cs="Arial"/>
                <w:sz w:val="18"/>
                <w:szCs w:val="18"/>
              </w:rPr>
              <w:t>Exact %</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1DDF832">
            <w:pPr>
              <w:spacing w:before="0" w:after="0"/>
            </w:pPr>
            <w:r>
              <w:rPr>
                <w:rFonts w:ascii="Arial" w:hAnsi="Arial" w:eastAsia="Arial" w:cs="Arial"/>
                <w:sz w:val="18"/>
                <w:szCs w:val="18"/>
              </w:rPr>
              <w:t>Percentage of essays where AI score exactly matched human.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A78FBAB">
            <w:pPr>
              <w:spacing w:before="0" w:after="0"/>
            </w:pPr>
            <w:r>
              <w:rPr>
                <w:rFonts w:ascii="Arial" w:hAnsi="Arial" w:eastAsia="Arial" w:cs="Arial"/>
                <w:sz w:val="18"/>
                <w:szCs w:val="18"/>
              </w:rPr>
              <w:t>Higher is better</w:t>
            </w:r>
          </w:p>
        </w:tc>
      </w:tr>
      <w:tr w14:paraId="1D60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2C408DE6">
            <w:pPr>
              <w:spacing w:before="0" w:after="0"/>
            </w:pPr>
            <w:r>
              <w:rPr>
                <w:rFonts w:ascii="Arial" w:hAnsi="Arial" w:eastAsia="Arial" w:cs="Arial"/>
                <w:sz w:val="18"/>
                <w:szCs w:val="18"/>
              </w:rPr>
              <w:t>±1 %</w:t>
            </w:r>
          </w:p>
        </w:tc>
        <w:tc>
          <w:tcPr>
            <w:tcW w:w="40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72399ABB">
            <w:pPr>
              <w:spacing w:before="0" w:after="0"/>
            </w:pPr>
            <w:r>
              <w:rPr>
                <w:rFonts w:ascii="Arial" w:hAnsi="Arial" w:eastAsia="Arial" w:cs="Arial"/>
                <w:sz w:val="18"/>
                <w:szCs w:val="18"/>
              </w:rPr>
              <w:t>Essays within 1 grade of human. Industry-standard acceptable threshold.</w:t>
            </w:r>
          </w:p>
        </w:tc>
        <w:tc>
          <w:tcPr>
            <w:tcW w:w="236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511BC53D">
            <w:pPr>
              <w:spacing w:before="0" w:after="0"/>
            </w:pPr>
            <w:r>
              <w:rPr>
                <w:rFonts w:ascii="Arial" w:hAnsi="Arial" w:eastAsia="Arial" w:cs="Arial"/>
                <w:sz w:val="18"/>
                <w:szCs w:val="18"/>
              </w:rPr>
              <w:t>≥ 70% target</w:t>
            </w:r>
          </w:p>
        </w:tc>
      </w:tr>
    </w:tbl>
    <w:p w14:paraId="7FD1C65E">
      <w:pPr>
        <w:spacing w:before="0" w:after="0"/>
      </w:pPr>
    </w:p>
    <w:p w14:paraId="484A96DA">
      <w:pPr>
        <w:pStyle w:val="3"/>
        <w:spacing w:before="160" w:after="60"/>
      </w:pPr>
      <w:r>
        <w:t>QWK Interpretation Scale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B555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356999FF">
            <w:pPr>
              <w:spacing w:before="0" w:after="0"/>
            </w:pPr>
            <w:r>
              <w:rPr>
                <w:rFonts w:ascii="Arial" w:hAnsi="Arial" w:eastAsia="Arial" w:cs="Arial"/>
                <w:b/>
                <w:bCs/>
                <w:color w:val="FFFFFF"/>
                <w:sz w:val="18"/>
                <w:szCs w:val="18"/>
              </w:rPr>
              <w:t>QWK Range</w:t>
            </w:r>
          </w:p>
        </w:tc>
        <w:tc>
          <w:tcPr>
            <w:tcW w:w="468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3B74DE95">
            <w:pPr>
              <w:spacing w:before="0" w:after="0"/>
            </w:pPr>
            <w:r>
              <w:rPr>
                <w:rFonts w:ascii="Arial" w:hAnsi="Arial" w:eastAsia="Arial" w:cs="Arial"/>
                <w:b/>
                <w:bCs/>
                <w:color w:val="FFFFFF"/>
                <w:sz w:val="18"/>
                <w:szCs w:val="18"/>
              </w:rPr>
              <w:t>Agreement Level</w:t>
            </w:r>
          </w:p>
        </w:tc>
      </w:tr>
      <w:tr w14:paraId="1F44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3EEB4C75">
            <w:pPr>
              <w:spacing w:before="0" w:after="0"/>
            </w:pPr>
            <w:r>
              <w:rPr>
                <w:rFonts w:ascii="Arial" w:hAnsi="Arial" w:eastAsia="Arial" w:cs="Arial"/>
                <w:sz w:val="18"/>
                <w:szCs w:val="18"/>
              </w:rPr>
              <w:t>0.00 – 0.20</w:t>
            </w:r>
          </w:p>
        </w:tc>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0A3E8001">
            <w:pPr>
              <w:spacing w:before="0" w:after="0"/>
            </w:pPr>
            <w:r>
              <w:rPr>
                <w:rFonts w:ascii="Arial" w:hAnsi="Arial" w:eastAsia="Arial" w:cs="Arial"/>
                <w:sz w:val="18"/>
                <w:szCs w:val="18"/>
              </w:rPr>
              <w:t>Poor</w:t>
            </w:r>
          </w:p>
        </w:tc>
      </w:tr>
      <w:tr w14:paraId="1B6F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816CD42">
            <w:pPr>
              <w:spacing w:before="0" w:after="0"/>
            </w:pPr>
            <w:r>
              <w:rPr>
                <w:rFonts w:ascii="Arial" w:hAnsi="Arial" w:eastAsia="Arial" w:cs="Arial"/>
                <w:sz w:val="18"/>
                <w:szCs w:val="18"/>
              </w:rPr>
              <w:t>0.20 – 0.40</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DAA5C04">
            <w:pPr>
              <w:spacing w:before="0" w:after="0"/>
            </w:pPr>
            <w:r>
              <w:rPr>
                <w:rFonts w:ascii="Arial" w:hAnsi="Arial" w:eastAsia="Arial" w:cs="Arial"/>
                <w:sz w:val="18"/>
                <w:szCs w:val="18"/>
              </w:rPr>
              <w:t>Fair</w:t>
            </w:r>
          </w:p>
        </w:tc>
      </w:tr>
      <w:tr w14:paraId="7F8C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1B7BF01E">
            <w:pPr>
              <w:spacing w:before="0" w:after="0"/>
            </w:pPr>
            <w:r>
              <w:rPr>
                <w:rFonts w:ascii="Arial" w:hAnsi="Arial" w:eastAsia="Arial" w:cs="Arial"/>
                <w:sz w:val="18"/>
                <w:szCs w:val="18"/>
              </w:rPr>
              <w:t>0.40 – 0.60</w:t>
            </w:r>
          </w:p>
        </w:tc>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7FBA962B">
            <w:pPr>
              <w:spacing w:before="0" w:after="0"/>
            </w:pPr>
            <w:r>
              <w:rPr>
                <w:rFonts w:ascii="Arial" w:hAnsi="Arial" w:eastAsia="Arial" w:cs="Arial"/>
                <w:sz w:val="18"/>
                <w:szCs w:val="18"/>
              </w:rPr>
              <w:t>Moderate</w:t>
            </w:r>
          </w:p>
        </w:tc>
      </w:tr>
      <w:tr w14:paraId="2F0BF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8E1B6C3">
            <w:pPr>
              <w:spacing w:before="0" w:after="0"/>
            </w:pPr>
            <w:r>
              <w:rPr>
                <w:rFonts w:ascii="Arial" w:hAnsi="Arial" w:eastAsia="Arial" w:cs="Arial"/>
                <w:sz w:val="18"/>
                <w:szCs w:val="18"/>
              </w:rPr>
              <w:t>0.60 – 0.80</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FABD758">
            <w:pPr>
              <w:spacing w:before="0" w:after="0"/>
            </w:pPr>
            <w:r>
              <w:rPr>
                <w:rFonts w:ascii="Arial" w:hAnsi="Arial" w:eastAsia="Arial" w:cs="Arial"/>
                <w:sz w:val="18"/>
                <w:szCs w:val="18"/>
              </w:rPr>
              <w:t>Substantial</w:t>
            </w:r>
          </w:p>
        </w:tc>
      </w:tr>
      <w:tr w14:paraId="45195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22880AFB">
            <w:pPr>
              <w:spacing w:before="0" w:after="0"/>
            </w:pPr>
            <w:r>
              <w:rPr>
                <w:rFonts w:ascii="Arial" w:hAnsi="Arial" w:eastAsia="Arial" w:cs="Arial"/>
                <w:sz w:val="18"/>
                <w:szCs w:val="18"/>
              </w:rPr>
              <w:t>0.80 – 1.00</w:t>
            </w:r>
          </w:p>
        </w:tc>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6C10A956">
            <w:pPr>
              <w:spacing w:before="0" w:after="0"/>
            </w:pPr>
            <w:r>
              <w:rPr>
                <w:rFonts w:ascii="Arial" w:hAnsi="Arial" w:eastAsia="Arial" w:cs="Arial"/>
                <w:sz w:val="18"/>
                <w:szCs w:val="18"/>
              </w:rPr>
              <w:t>Excellent</w:t>
            </w:r>
          </w:p>
        </w:tc>
      </w:tr>
    </w:tbl>
    <w:p w14:paraId="5CBD4ED9">
      <w:pPr>
        <w:spacing w:before="0" w:after="0"/>
      </w:pPr>
    </w:p>
    <w:p w14:paraId="14EBFF65">
      <w:pPr>
        <w:pStyle w:val="3"/>
        <w:spacing w:before="160" w:after="60"/>
      </w:pPr>
      <w:r>
        <w:t>Reading the Visualisations</w:t>
      </w:r>
    </w:p>
    <w:p w14:paraId="2A2D5AD9">
      <w:pPr>
        <w:pStyle w:val="4"/>
        <w:spacing w:before="120" w:after="40"/>
      </w:pPr>
      <w:r>
        <w:t>Confusion Matrix</w:t>
      </w:r>
    </w:p>
    <w:p w14:paraId="7DC178E9">
      <w:pPr>
        <w:pStyle w:val="17"/>
        <w:numPr>
          <w:ilvl w:val="0"/>
          <w:numId w:val="1"/>
        </w:numPr>
        <w:spacing w:before="0" w:after="60"/>
      </w:pPr>
      <w:r>
        <w:t>Rows = Human examiner's score; Columns = AI predicted score</w:t>
      </w:r>
    </w:p>
    <w:p w14:paraId="61A954E3">
      <w:pPr>
        <w:pStyle w:val="17"/>
        <w:numPr>
          <w:ilvl w:val="0"/>
          <w:numId w:val="1"/>
        </w:numPr>
        <w:spacing w:before="0" w:after="60"/>
      </w:pPr>
      <w:r>
        <w:t>Diagonal numbers = correct predictions (AI matched human exactly)</w:t>
      </w:r>
    </w:p>
    <w:p w14:paraId="1C7D5CAB">
      <w:pPr>
        <w:pStyle w:val="17"/>
        <w:numPr>
          <w:ilvl w:val="0"/>
          <w:numId w:val="1"/>
        </w:numPr>
        <w:spacing w:before="0" w:after="60"/>
      </w:pPr>
      <w:r>
        <w:t>Numbers above diagonal = AI under-scored the essay</w:t>
      </w:r>
    </w:p>
    <w:p w14:paraId="2C623514">
      <w:pPr>
        <w:pStyle w:val="17"/>
        <w:numPr>
          <w:ilvl w:val="0"/>
          <w:numId w:val="1"/>
        </w:numPr>
        <w:spacing w:before="0" w:after="60"/>
      </w:pPr>
      <w:r>
        <w:t>Numbers below diagonal = AI over-scored the essay</w:t>
      </w:r>
    </w:p>
    <w:p w14:paraId="7C68A121">
      <w:pPr>
        <w:pStyle w:val="4"/>
        <w:spacing w:before="120" w:after="40"/>
      </w:pPr>
      <w:r>
        <w:t>Scatter Plot</w:t>
      </w:r>
    </w:p>
    <w:p w14:paraId="4E09514A">
      <w:pPr>
        <w:pStyle w:val="17"/>
        <w:numPr>
          <w:ilvl w:val="0"/>
          <w:numId w:val="1"/>
        </w:numPr>
        <w:spacing w:before="0" w:after="60"/>
      </w:pPr>
      <w:r>
        <w:t>Each dot = one essay. Dashed diagonal line = perfect agreement zone.</w:t>
      </w:r>
    </w:p>
    <w:p w14:paraId="04E8A14F">
      <w:pPr>
        <w:pStyle w:val="17"/>
        <w:numPr>
          <w:ilvl w:val="0"/>
          <w:numId w:val="1"/>
        </w:numPr>
        <w:spacing w:before="0" w:after="60"/>
      </w:pPr>
      <w:r>
        <w:t>Dots above the line = AI under-scoring. Dots below = AI over-scoring.</w:t>
      </w:r>
    </w:p>
    <w:p w14:paraId="773FEE9E">
      <w:r>
        <w:br w:type="page"/>
      </w:r>
    </w:p>
    <w:p w14:paraId="2CEC7940">
      <w:pPr>
        <w:pStyle w:val="2"/>
        <w:spacing w:before="200" w:after="80"/>
      </w:pPr>
      <w:r>
        <w:t>2. Pipeline Execution Notes</w:t>
      </w:r>
    </w:p>
    <w:p w14:paraId="728D5485">
      <w:pPr>
        <w:spacing w:before="0" w:after="60"/>
      </w:pPr>
      <w:r>
        <w:rPr>
          <w:rFonts w:hint="default" w:ascii="Arial" w:hAnsi="Arial" w:eastAsia="SimSun" w:cs="Arial"/>
          <w:sz w:val="24"/>
          <w:szCs w:val="24"/>
          <w:shd w:val="clear" w:color="auto" w:fill="auto"/>
        </w:rPr>
        <w:t>All MAGIC pipeline evaluations completed successfully across all 6 runs (100/100 essays per run). For the LLaMA 3.1:8b and Mistral:7b runs, AutoScore results are also available, enabling a direct pipeline-to-pipeline comparison. The Gemma3:12b runs were evaluated using the MAGIC pipeline only, which provides the primary scoring metric used throughout this study</w:t>
      </w:r>
      <w:r>
        <w:rPr>
          <w:rFonts w:hint="default" w:ascii="Arial" w:hAnsi="Arial" w:eastAsia="SimSun" w:cs="Arial"/>
          <w:sz w:val="24"/>
          <w:szCs w:val="24"/>
          <w:shd w:val="clear" w:color="FFFFFF" w:fill="D9D9D9"/>
        </w:rPr>
        <w:t>.</w:t>
      </w:r>
      <w:r>
        <w:t>.</w:t>
      </w:r>
    </w:p>
    <w:p w14:paraId="111D2011">
      <w:pPr>
        <w:spacing w:before="0" w:after="0"/>
      </w:pPr>
    </w:p>
    <w:p w14:paraId="1288841C">
      <w:pPr>
        <w:pStyle w:val="3"/>
        <w:spacing w:before="160" w:after="60"/>
      </w:pPr>
      <w:r>
        <w:t>Run Validity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7B74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7266BA2C">
            <w:pPr>
              <w:spacing w:before="0" w:after="0"/>
            </w:pPr>
            <w:r>
              <w:rPr>
                <w:rFonts w:ascii="Arial" w:hAnsi="Arial" w:eastAsia="Arial" w:cs="Arial"/>
                <w:b/>
                <w:bCs/>
                <w:color w:val="FFFFFF"/>
                <w:sz w:val="18"/>
                <w:szCs w:val="18"/>
              </w:rPr>
              <w:t>Run</w:t>
            </w:r>
          </w:p>
        </w:tc>
        <w:tc>
          <w:tcPr>
            <w:tcW w:w="536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47F177A1">
            <w:pPr>
              <w:spacing w:before="0" w:after="0"/>
            </w:pPr>
            <w:r>
              <w:rPr>
                <w:rFonts w:ascii="Arial" w:hAnsi="Arial" w:eastAsia="Arial" w:cs="Arial"/>
                <w:b/>
                <w:bCs/>
                <w:color w:val="FFFFFF"/>
                <w:sz w:val="18"/>
                <w:szCs w:val="18"/>
              </w:rPr>
              <w:t>Notes</w:t>
            </w:r>
          </w:p>
        </w:tc>
      </w:tr>
      <w:tr w14:paraId="404B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3B68CFE4">
            <w:pPr>
              <w:spacing w:before="0" w:after="0"/>
            </w:pPr>
            <w:r>
              <w:rPr>
                <w:rFonts w:ascii="Arial" w:hAnsi="Arial" w:eastAsia="Arial" w:cs="Arial"/>
                <w:sz w:val="18"/>
                <w:szCs w:val="18"/>
              </w:rPr>
              <w:t>LLaMA 3.1:8b + GRE 5-agent</w:t>
            </w:r>
          </w:p>
        </w:tc>
        <w:tc>
          <w:tcPr>
            <w:tcW w:w="536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779044EF">
            <w:pPr>
              <w:spacing w:before="0" w:after="0"/>
            </w:pPr>
            <w:r>
              <w:rPr>
                <w:rFonts w:ascii="Arial" w:hAnsi="Arial" w:eastAsia="Arial" w:cs="Arial"/>
                <w:sz w:val="18"/>
                <w:szCs w:val="18"/>
              </w:rPr>
              <w:t>Full run</w:t>
            </w:r>
          </w:p>
        </w:tc>
      </w:tr>
      <w:tr w14:paraId="1AAA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2F11439">
            <w:pPr>
              <w:spacing w:before="0" w:after="0"/>
            </w:pPr>
            <w:r>
              <w:rPr>
                <w:rFonts w:ascii="Arial" w:hAnsi="Arial" w:eastAsia="Arial" w:cs="Arial"/>
                <w:sz w:val="18"/>
                <w:szCs w:val="18"/>
              </w:rPr>
              <w:t>LLaMA 3.1:8b + ASAP 3-agent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120672C">
            <w:pPr>
              <w:spacing w:before="0" w:after="0"/>
            </w:pPr>
            <w:r>
              <w:rPr>
                <w:rFonts w:ascii="Arial" w:hAnsi="Arial" w:eastAsia="Arial" w:cs="Arial"/>
                <w:sz w:val="18"/>
                <w:szCs w:val="18"/>
              </w:rPr>
              <w:t>Full run</w:t>
            </w:r>
          </w:p>
        </w:tc>
      </w:tr>
      <w:tr w14:paraId="4864D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62E9AB9E">
            <w:pPr>
              <w:spacing w:before="0" w:after="0"/>
            </w:pPr>
            <w:r>
              <w:rPr>
                <w:rFonts w:ascii="Arial" w:hAnsi="Arial" w:eastAsia="Arial" w:cs="Arial"/>
                <w:sz w:val="18"/>
                <w:szCs w:val="18"/>
              </w:rPr>
              <w:t>Mistral:7b + GRE 5-agent</w:t>
            </w:r>
          </w:p>
        </w:tc>
        <w:tc>
          <w:tcPr>
            <w:tcW w:w="536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70C970A5">
            <w:pPr>
              <w:spacing w:before="0" w:after="0"/>
            </w:pPr>
            <w:r>
              <w:rPr>
                <w:rFonts w:ascii="Arial" w:hAnsi="Arial" w:eastAsia="Arial" w:cs="Arial"/>
                <w:sz w:val="18"/>
                <w:szCs w:val="18"/>
              </w:rPr>
              <w:t>Full run</w:t>
            </w:r>
          </w:p>
        </w:tc>
      </w:tr>
      <w:tr w14:paraId="7A53F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3B41CE6">
            <w:pPr>
              <w:spacing w:before="0" w:after="0"/>
            </w:pPr>
            <w:r>
              <w:rPr>
                <w:rFonts w:ascii="Arial" w:hAnsi="Arial" w:eastAsia="Arial" w:cs="Arial"/>
                <w:sz w:val="18"/>
                <w:szCs w:val="18"/>
              </w:rPr>
              <w:t>Mistral:7b + ASAP 3-agent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28BFE50">
            <w:pPr>
              <w:spacing w:before="0" w:after="0"/>
            </w:pPr>
            <w:r>
              <w:rPr>
                <w:rFonts w:ascii="Arial" w:hAnsi="Arial" w:eastAsia="Arial" w:cs="Arial"/>
                <w:sz w:val="18"/>
                <w:szCs w:val="18"/>
              </w:rPr>
              <w:t>Full run</w:t>
            </w:r>
          </w:p>
        </w:tc>
      </w:tr>
      <w:tr w14:paraId="5265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2560DD4">
            <w:pPr>
              <w:spacing w:before="0" w:after="0"/>
            </w:pPr>
            <w:r>
              <w:rPr>
                <w:rFonts w:ascii="Arial" w:hAnsi="Arial" w:eastAsia="Arial" w:cs="Arial"/>
                <w:sz w:val="18"/>
                <w:szCs w:val="18"/>
              </w:rPr>
              <w:t>Gemma3:12b + GRE 5-agent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029E3E6">
            <w:pPr>
              <w:spacing w:before="0" w:after="0"/>
              <w:rPr>
                <w:rFonts w:hint="default"/>
                <w:lang w:val="en-IN"/>
              </w:rPr>
            </w:pPr>
            <w:r>
              <w:rPr>
                <w:rFonts w:hint="default" w:cs="Arial"/>
                <w:sz w:val="18"/>
                <w:szCs w:val="18"/>
                <w:lang w:val="en-IN"/>
              </w:rPr>
              <w:t>Full run</w:t>
            </w:r>
          </w:p>
        </w:tc>
      </w:tr>
    </w:tbl>
    <w:p w14:paraId="0DBB6E7E">
      <w:r>
        <w:br w:type="page"/>
      </w:r>
    </w:p>
    <w:p w14:paraId="4E322F7E">
      <w:pPr>
        <w:pStyle w:val="2"/>
        <w:spacing w:before="200" w:after="80"/>
      </w:pPr>
      <w:r>
        <w:t>3. Complete Analysis of All Runs</w:t>
      </w:r>
    </w:p>
    <w:p w14:paraId="11E3F13D">
      <w:pPr>
        <w:pStyle w:val="3"/>
        <w:spacing w:before="160" w:after="60"/>
      </w:pPr>
      <w:r>
        <w:t>Run 1 — MAGIC 3-Agent ASAP Rubric + LLaMA 3.1:8b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1DB3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66F4F11B">
            <w:pPr>
              <w:spacing w:before="0" w:after="0"/>
              <w:jc w:val="center"/>
            </w:pPr>
            <w:r>
              <w:rPr>
                <w:rFonts w:ascii="Arial" w:hAnsi="Arial" w:eastAsia="Arial" w:cs="Arial"/>
                <w:b/>
                <w:bCs/>
                <w:color w:val="BF360C"/>
                <w:sz w:val="26"/>
                <w:szCs w:val="26"/>
              </w:rPr>
              <w:t>0.220</w:t>
            </w:r>
          </w:p>
          <w:p w14:paraId="43D4123B">
            <w:pPr>
              <w:spacing w:before="0" w:after="0"/>
              <w:jc w:val="center"/>
            </w:pPr>
            <w:r>
              <w:rPr>
                <w:rFonts w:ascii="Arial" w:hAnsi="Arial" w:eastAsia="Arial" w:cs="Arial"/>
                <w:color w:val="666666"/>
                <w:sz w:val="16"/>
                <w:szCs w:val="16"/>
              </w:rPr>
              <w:t>QWK</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70549EE0">
            <w:pPr>
              <w:spacing w:before="0" w:after="0"/>
              <w:jc w:val="center"/>
            </w:pPr>
            <w:r>
              <w:rPr>
                <w:rFonts w:ascii="Arial" w:hAnsi="Arial" w:eastAsia="Arial" w:cs="Arial"/>
                <w:b/>
                <w:bCs/>
                <w:color w:val="BF360C"/>
                <w:sz w:val="26"/>
                <w:szCs w:val="26"/>
              </w:rPr>
              <w:t>0.260</w:t>
            </w:r>
          </w:p>
          <w:p w14:paraId="5827592F">
            <w:pPr>
              <w:spacing w:before="0" w:after="0"/>
              <w:jc w:val="center"/>
            </w:pPr>
            <w:r>
              <w:rPr>
                <w:rFonts w:ascii="Arial" w:hAnsi="Arial" w:eastAsia="Arial" w:cs="Arial"/>
                <w:color w:val="666666"/>
                <w:sz w:val="16"/>
                <w:szCs w:val="16"/>
              </w:rPr>
              <w:t>r</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7D4F1B00">
            <w:pPr>
              <w:spacing w:before="0" w:after="0"/>
              <w:jc w:val="center"/>
            </w:pPr>
            <w:r>
              <w:rPr>
                <w:rFonts w:ascii="Arial" w:hAnsi="Arial" w:eastAsia="Arial" w:cs="Arial"/>
                <w:b/>
                <w:bCs/>
                <w:color w:val="BF360C"/>
                <w:sz w:val="26"/>
                <w:szCs w:val="26"/>
              </w:rPr>
              <w:t>1.110</w:t>
            </w:r>
          </w:p>
          <w:p w14:paraId="7A063A98">
            <w:pPr>
              <w:spacing w:before="0" w:after="0"/>
              <w:jc w:val="center"/>
            </w:pPr>
            <w:r>
              <w:rPr>
                <w:rFonts w:ascii="Arial" w:hAnsi="Arial" w:eastAsia="Arial" w:cs="Arial"/>
                <w:color w:val="666666"/>
                <w:sz w:val="16"/>
                <w:szCs w:val="16"/>
              </w:rPr>
              <w:t>MAE</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675C8BB2">
            <w:pPr>
              <w:spacing w:before="0" w:after="0"/>
              <w:jc w:val="center"/>
            </w:pPr>
            <w:r>
              <w:rPr>
                <w:rFonts w:ascii="Arial" w:hAnsi="Arial" w:eastAsia="Arial" w:cs="Arial"/>
                <w:b/>
                <w:bCs/>
                <w:color w:val="BF360C"/>
                <w:sz w:val="26"/>
                <w:szCs w:val="26"/>
              </w:rPr>
              <w:t>29%</w:t>
            </w:r>
          </w:p>
          <w:p w14:paraId="7AC12D1D">
            <w:pPr>
              <w:spacing w:before="0" w:after="0"/>
              <w:jc w:val="center"/>
            </w:pPr>
            <w:r>
              <w:rPr>
                <w:rFonts w:ascii="Arial" w:hAnsi="Arial" w:eastAsia="Arial" w:cs="Arial"/>
                <w:color w:val="666666"/>
                <w:sz w:val="16"/>
                <w:szCs w:val="16"/>
              </w:rPr>
              <w:t>Exact %</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3DA12753">
            <w:pPr>
              <w:spacing w:before="0" w:after="0"/>
              <w:jc w:val="center"/>
            </w:pPr>
            <w:r>
              <w:rPr>
                <w:rFonts w:ascii="Arial" w:hAnsi="Arial" w:eastAsia="Arial" w:cs="Arial"/>
                <w:b/>
                <w:bCs/>
                <w:color w:val="BF360C"/>
                <w:sz w:val="26"/>
                <w:szCs w:val="26"/>
              </w:rPr>
              <w:t>69%</w:t>
            </w:r>
          </w:p>
          <w:p w14:paraId="7B2A998C">
            <w:pPr>
              <w:spacing w:before="0" w:after="0"/>
              <w:jc w:val="center"/>
            </w:pPr>
            <w:r>
              <w:rPr>
                <w:rFonts w:ascii="Arial" w:hAnsi="Arial" w:eastAsia="Arial" w:cs="Arial"/>
                <w:color w:val="666666"/>
                <w:sz w:val="16"/>
                <w:szCs w:val="16"/>
              </w:rPr>
              <w:t>±1 %</w:t>
            </w:r>
          </w:p>
        </w:tc>
      </w:tr>
    </w:tbl>
    <w:p w14:paraId="76B92FB6">
      <w:pPr>
        <w:spacing w:before="40" w:after="40"/>
      </w:pPr>
      <w:r>
        <w:rPr>
          <w:rFonts w:ascii="Arial" w:hAnsi="Arial" w:eastAsia="Arial" w:cs="Arial"/>
          <w:b/>
          <w:bCs/>
        </w:rPr>
        <w:t xml:space="preserve">Grade: </w:t>
      </w:r>
      <w:r>
        <w:rPr>
          <w:rFonts w:ascii="Arial" w:hAnsi="Arial" w:eastAsia="Arial" w:cs="Arial"/>
        </w:rPr>
        <w:t>Fair</w:t>
      </w:r>
    </w:p>
    <w:p w14:paraId="09E1FEB2">
      <w:pPr>
        <w:pStyle w:val="4"/>
        <w:spacing w:before="120" w:after="40"/>
      </w:pPr>
      <w:r>
        <w:t>Overview</w:t>
      </w:r>
    </w:p>
    <w:p w14:paraId="4EBD7DCD">
      <w:pPr>
        <w:spacing w:before="0" w:after="60"/>
      </w:pPr>
      <w:r>
        <w:t>This run tested whether simplifying the rubric from 5 GRE-style agents to 3 student-focused agents would help LLaMA better align with human scores. The 3 agents evaluated Content &amp; Task Response, Organisation &amp; Development, and Language &amp; Conventions — dimensions more appropriate for middle and high school persuasive writing than the original GRE criteria.</w:t>
      </w:r>
    </w:p>
    <w:p w14:paraId="175C8726">
      <w:pPr>
        <w:spacing w:before="0" w:after="60"/>
      </w:pPr>
    </w:p>
    <w:p w14:paraId="5316CA81">
      <w:pPr>
        <w:spacing w:before="0" w:after="60"/>
      </w:pPr>
      <w:r>
        <w:rPr>
          <w:rFonts w:hint="default"/>
          <w:lang w:val="en-IN"/>
        </w:rPr>
        <w:drawing>
          <wp:inline distT="0" distB="0" distL="114300" distR="114300">
            <wp:extent cx="3130550" cy="2384425"/>
            <wp:effectExtent l="0" t="0" r="8890" b="8255"/>
            <wp:docPr id="1" name="Picture 1" descr="MAGIC_3_Agent_LLama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GIC_3_Agent_LLama_Plot"/>
                    <pic:cNvPicPr>
                      <a:picLocks noChangeAspect="1"/>
                    </pic:cNvPicPr>
                  </pic:nvPicPr>
                  <pic:blipFill>
                    <a:blip r:embed="rId5"/>
                    <a:stretch>
                      <a:fillRect/>
                    </a:stretch>
                  </pic:blipFill>
                  <pic:spPr>
                    <a:xfrm>
                      <a:off x="0" y="0"/>
                      <a:ext cx="3130550" cy="2384425"/>
                    </a:xfrm>
                    <a:prstGeom prst="rect">
                      <a:avLst/>
                    </a:prstGeom>
                  </pic:spPr>
                </pic:pic>
              </a:graphicData>
            </a:graphic>
          </wp:inline>
        </w:drawing>
      </w:r>
      <w:r>
        <w:drawing>
          <wp:inline distT="0" distB="0" distL="114300" distR="114300">
            <wp:extent cx="3066415" cy="2378710"/>
            <wp:effectExtent l="0" t="0" r="12065" b="13970"/>
            <wp:docPr id="2" name="Picture 2" descr="MAGIC_3_Agent_LLama_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GIC_3_Agent_LLama_Confusion"/>
                    <pic:cNvPicPr>
                      <a:picLocks noChangeAspect="1"/>
                    </pic:cNvPicPr>
                  </pic:nvPicPr>
                  <pic:blipFill>
                    <a:blip r:embed="rId6"/>
                    <a:stretch>
                      <a:fillRect/>
                    </a:stretch>
                  </pic:blipFill>
                  <pic:spPr>
                    <a:xfrm>
                      <a:off x="0" y="0"/>
                      <a:ext cx="3066415" cy="2378710"/>
                    </a:xfrm>
                    <a:prstGeom prst="rect">
                      <a:avLst/>
                    </a:prstGeom>
                  </pic:spPr>
                </pic:pic>
              </a:graphicData>
            </a:graphic>
          </wp:inline>
        </w:drawing>
      </w:r>
    </w:p>
    <w:p w14:paraId="62650070">
      <w:pPr>
        <w:spacing w:before="0" w:after="60"/>
      </w:pPr>
    </w:p>
    <w:p w14:paraId="6651837E">
      <w:pPr>
        <w:pStyle w:val="4"/>
        <w:spacing w:before="120" w:after="40"/>
      </w:pPr>
      <w:r>
        <w:t>Scatter Plot Analysis</w:t>
      </w:r>
    </w:p>
    <w:p w14:paraId="063744D5">
      <w:pPr>
        <w:spacing w:before="0" w:after="60"/>
        <w:rPr>
          <w:rFonts w:hint="default"/>
          <w:lang w:val="en-IN"/>
        </w:rPr>
      </w:pPr>
      <w:r>
        <w:t>Predictions are spread across scores 2–4, showing the model is using the scoring range rather than collapsing to a single value. The diagonal alignment is present but weak — many dots are scattered above the dashed line, indicating a consistent pattern of under-scoring. A notable outlier is visible where a score 0 essay was predicted as 3, and a score 6 essay was predicted as 4, suggesting the model struggles at the extremes.</w:t>
      </w:r>
      <w:r>
        <w:rPr>
          <w:rFonts w:hint="default"/>
          <w:lang w:val="en-IN"/>
        </w:rPr>
        <w:t xml:space="preserve">                                          </w:t>
      </w:r>
    </w:p>
    <w:p w14:paraId="702CB7F9">
      <w:pPr>
        <w:pStyle w:val="4"/>
        <w:spacing w:before="120" w:after="40"/>
      </w:pPr>
      <w:r>
        <w:t>Confusion Matrix Analysis</w:t>
      </w:r>
    </w:p>
    <w:p w14:paraId="34024408">
      <w:pPr>
        <w:spacing w:before="0" w:after="60"/>
      </w:pPr>
      <w:r>
        <w:t>The brightest cell is at human=2, predicted=2 with 18 correct predictions — the model performs best on low-scoring essays. The off-diagonal pattern reveals a clear under-scoring trend: 13 essays where the human gave score 3 were predicted as 2. Score 0 essays were predicted as 2 or 3 in most cases — the model cannot reliably identify very weak essays.</w:t>
      </w:r>
    </w:p>
    <w:p w14:paraId="0ABF018F">
      <w:pPr>
        <w:pStyle w:val="4"/>
        <w:spacing w:before="120" w:after="40"/>
      </w:pPr>
      <w:r>
        <w:t>Why This Happened</w:t>
      </w:r>
    </w:p>
    <w:p w14:paraId="04D196C9">
      <w:pPr>
        <w:spacing w:before="0" w:after="60"/>
      </w:pPr>
      <w:r>
        <w:t>The simplified 3-agent rubric gave the model less structured criteria to anchor scores against. With fewer and broader rubric dimensions, the model had more ambiguity. Paradoxically, more detailed rubrics help smaller models score more consistently.</w:t>
      </w:r>
    </w:p>
    <w:p w14:paraId="10F2C183">
      <w:pPr>
        <w:pStyle w:val="4"/>
        <w:spacing w:before="120" w:after="40"/>
      </w:pPr>
      <w:r>
        <w:t>Assessment</w:t>
      </w:r>
    </w:p>
    <w:p w14:paraId="7B95CD8B">
      <w:pPr>
        <w:spacing w:before="0" w:after="60"/>
      </w:pPr>
      <w:r>
        <w:t>Fair agreement. The rubric simplification did not achieve the intended improvement — it introduced more score uncertainty rather than reducing domain mismatch.</w:t>
      </w:r>
    </w:p>
    <w:p w14:paraId="1B490366">
      <w:pPr>
        <w:spacing w:before="0" w:after="0"/>
      </w:pPr>
    </w:p>
    <w:p w14:paraId="6676A2FD">
      <w:pPr>
        <w:pStyle w:val="3"/>
        <w:spacing w:before="160" w:after="60"/>
      </w:pPr>
      <w:r>
        <w:t>Run 2 — MAGIC 3-Agent ASAP Rubric + Mistral:7b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247D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2420A3DB">
            <w:pPr>
              <w:spacing w:before="0" w:after="0"/>
              <w:jc w:val="center"/>
            </w:pPr>
            <w:r>
              <w:rPr>
                <w:rFonts w:ascii="Arial" w:hAnsi="Arial" w:eastAsia="Arial" w:cs="Arial"/>
                <w:b/>
                <w:bCs/>
                <w:color w:val="BF360C"/>
                <w:sz w:val="26"/>
                <w:szCs w:val="26"/>
              </w:rPr>
              <w:t>0.157</w:t>
            </w:r>
          </w:p>
          <w:p w14:paraId="673E2C8A">
            <w:pPr>
              <w:spacing w:before="0" w:after="0"/>
              <w:jc w:val="center"/>
            </w:pPr>
            <w:r>
              <w:rPr>
                <w:rFonts w:ascii="Arial" w:hAnsi="Arial" w:eastAsia="Arial" w:cs="Arial"/>
                <w:color w:val="666666"/>
                <w:sz w:val="16"/>
                <w:szCs w:val="16"/>
              </w:rPr>
              <w:t>QWK</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2CF561C7">
            <w:pPr>
              <w:spacing w:before="0" w:after="0"/>
              <w:jc w:val="center"/>
            </w:pPr>
            <w:r>
              <w:rPr>
                <w:rFonts w:ascii="Arial" w:hAnsi="Arial" w:eastAsia="Arial" w:cs="Arial"/>
                <w:b/>
                <w:bCs/>
                <w:color w:val="BF360C"/>
                <w:sz w:val="26"/>
                <w:szCs w:val="26"/>
              </w:rPr>
              <w:t>0.394</w:t>
            </w:r>
          </w:p>
          <w:p w14:paraId="57BACD04">
            <w:pPr>
              <w:spacing w:before="0" w:after="0"/>
              <w:jc w:val="center"/>
            </w:pPr>
            <w:r>
              <w:rPr>
                <w:rFonts w:ascii="Arial" w:hAnsi="Arial" w:eastAsia="Arial" w:cs="Arial"/>
                <w:color w:val="666666"/>
                <w:sz w:val="16"/>
                <w:szCs w:val="16"/>
              </w:rPr>
              <w:t>r</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3B6E9E45">
            <w:pPr>
              <w:spacing w:before="0" w:after="0"/>
              <w:jc w:val="center"/>
            </w:pPr>
            <w:r>
              <w:rPr>
                <w:rFonts w:ascii="Arial" w:hAnsi="Arial" w:eastAsia="Arial" w:cs="Arial"/>
                <w:b/>
                <w:bCs/>
                <w:color w:val="BF360C"/>
                <w:sz w:val="26"/>
                <w:szCs w:val="26"/>
              </w:rPr>
              <w:t>2.020</w:t>
            </w:r>
          </w:p>
          <w:p w14:paraId="1A0F1AE5">
            <w:pPr>
              <w:spacing w:before="0" w:after="0"/>
              <w:jc w:val="center"/>
            </w:pPr>
            <w:r>
              <w:rPr>
                <w:rFonts w:ascii="Arial" w:hAnsi="Arial" w:eastAsia="Arial" w:cs="Arial"/>
                <w:color w:val="666666"/>
                <w:sz w:val="16"/>
                <w:szCs w:val="16"/>
              </w:rPr>
              <w:t>MAE</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0638E458">
            <w:pPr>
              <w:spacing w:before="0" w:after="0"/>
              <w:jc w:val="center"/>
            </w:pPr>
            <w:r>
              <w:rPr>
                <w:rFonts w:ascii="Arial" w:hAnsi="Arial" w:eastAsia="Arial" w:cs="Arial"/>
                <w:b/>
                <w:bCs/>
                <w:color w:val="BF360C"/>
                <w:sz w:val="26"/>
                <w:szCs w:val="26"/>
              </w:rPr>
              <w:t>7%</w:t>
            </w:r>
          </w:p>
          <w:p w14:paraId="2C2E0D6C">
            <w:pPr>
              <w:spacing w:before="0" w:after="0"/>
              <w:jc w:val="center"/>
            </w:pPr>
            <w:r>
              <w:rPr>
                <w:rFonts w:ascii="Arial" w:hAnsi="Arial" w:eastAsia="Arial" w:cs="Arial"/>
                <w:color w:val="666666"/>
                <w:sz w:val="16"/>
                <w:szCs w:val="16"/>
              </w:rPr>
              <w:t>Exact %</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4B77E75A">
            <w:pPr>
              <w:spacing w:before="0" w:after="0"/>
              <w:jc w:val="center"/>
            </w:pPr>
            <w:r>
              <w:rPr>
                <w:rFonts w:ascii="Arial" w:hAnsi="Arial" w:eastAsia="Arial" w:cs="Arial"/>
                <w:b/>
                <w:bCs/>
                <w:color w:val="BF360C"/>
                <w:sz w:val="26"/>
                <w:szCs w:val="26"/>
              </w:rPr>
              <w:t>29%</w:t>
            </w:r>
          </w:p>
          <w:p w14:paraId="52F26480">
            <w:pPr>
              <w:spacing w:before="0" w:after="0"/>
              <w:jc w:val="center"/>
            </w:pPr>
            <w:r>
              <w:rPr>
                <w:rFonts w:ascii="Arial" w:hAnsi="Arial" w:eastAsia="Arial" w:cs="Arial"/>
                <w:color w:val="666666"/>
                <w:sz w:val="16"/>
                <w:szCs w:val="16"/>
              </w:rPr>
              <w:t>±1 %</w:t>
            </w:r>
          </w:p>
        </w:tc>
      </w:tr>
    </w:tbl>
    <w:p w14:paraId="049F6339">
      <w:pPr>
        <w:spacing w:before="40" w:after="40"/>
      </w:pPr>
      <w:r>
        <w:rPr>
          <w:rFonts w:ascii="Arial" w:hAnsi="Arial" w:eastAsia="Arial" w:cs="Arial"/>
          <w:b/>
          <w:bCs/>
        </w:rPr>
        <w:t xml:space="preserve">Grade: </w:t>
      </w:r>
      <w:r>
        <w:rPr>
          <w:rFonts w:ascii="Arial" w:hAnsi="Arial" w:eastAsia="Arial" w:cs="Arial"/>
        </w:rPr>
        <w:t>Poor</w:t>
      </w:r>
    </w:p>
    <w:p w14:paraId="0B574980">
      <w:pPr>
        <w:pStyle w:val="4"/>
        <w:spacing w:before="120" w:after="40"/>
      </w:pPr>
      <w:r>
        <w:t>Overview</w:t>
      </w:r>
    </w:p>
    <w:p w14:paraId="3FFF45CF">
      <w:pPr>
        <w:spacing w:before="0" w:after="60"/>
        <w:rPr>
          <w:rFonts w:hint="default"/>
          <w:lang w:val="en-IN"/>
        </w:rPr>
      </w:pPr>
      <w:r>
        <w:t>This run applied the same 3-agent ASAP rubric to Mistral:7b to test whether the rubric simplification would help a different model. The results reveal a fundamental model-level scoring bias that no rubric change can resolve.</w:t>
      </w:r>
      <w:r>
        <w:br w:type="textWrapping"/>
      </w:r>
      <w:r>
        <w:br w:type="textWrapping"/>
      </w:r>
      <w:r>
        <w:rPr>
          <w:rFonts w:hint="default"/>
          <w:lang w:val="en-IN"/>
        </w:rPr>
        <w:drawing>
          <wp:inline distT="0" distB="0" distL="114300" distR="114300">
            <wp:extent cx="3181985" cy="2393950"/>
            <wp:effectExtent l="0" t="0" r="3175" b="13970"/>
            <wp:docPr id="3" name="Picture 3" descr="MAGIC_3_Agent_Mistral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GIC_3_Agent_Mistral_Plot"/>
                    <pic:cNvPicPr>
                      <a:picLocks noChangeAspect="1"/>
                    </pic:cNvPicPr>
                  </pic:nvPicPr>
                  <pic:blipFill>
                    <a:blip r:embed="rId7"/>
                    <a:stretch>
                      <a:fillRect/>
                    </a:stretch>
                  </pic:blipFill>
                  <pic:spPr>
                    <a:xfrm>
                      <a:off x="0" y="0"/>
                      <a:ext cx="3181985" cy="2393950"/>
                    </a:xfrm>
                    <a:prstGeom prst="rect">
                      <a:avLst/>
                    </a:prstGeom>
                  </pic:spPr>
                </pic:pic>
              </a:graphicData>
            </a:graphic>
          </wp:inline>
        </w:drawing>
      </w:r>
      <w:r>
        <w:rPr>
          <w:rFonts w:hint="default"/>
          <w:lang w:val="en-IN"/>
        </w:rPr>
        <w:drawing>
          <wp:inline distT="0" distB="0" distL="114300" distR="114300">
            <wp:extent cx="3098800" cy="2395220"/>
            <wp:effectExtent l="0" t="0" r="10160" b="12700"/>
            <wp:docPr id="4" name="Picture 4" descr="MAGIC_3_Agent_Mistral_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GIC_3_Agent_Mistral_Confusion"/>
                    <pic:cNvPicPr>
                      <a:picLocks noChangeAspect="1"/>
                    </pic:cNvPicPr>
                  </pic:nvPicPr>
                  <pic:blipFill>
                    <a:blip r:embed="rId8"/>
                    <a:stretch>
                      <a:fillRect/>
                    </a:stretch>
                  </pic:blipFill>
                  <pic:spPr>
                    <a:xfrm>
                      <a:off x="0" y="0"/>
                      <a:ext cx="3098800" cy="2395220"/>
                    </a:xfrm>
                    <a:prstGeom prst="rect">
                      <a:avLst/>
                    </a:prstGeom>
                  </pic:spPr>
                </pic:pic>
              </a:graphicData>
            </a:graphic>
          </wp:inline>
        </w:drawing>
      </w:r>
    </w:p>
    <w:p w14:paraId="4414578D">
      <w:pPr>
        <w:pStyle w:val="4"/>
        <w:spacing w:before="120" w:after="40"/>
      </w:pPr>
      <w:r>
        <w:t>Scatter Plot Analysis</w:t>
      </w:r>
    </w:p>
    <w:p w14:paraId="200AE432">
      <w:pPr>
        <w:spacing w:before="0" w:after="60"/>
      </w:pPr>
      <w:r>
        <w:t>The scatter plot shows a severe clustering of predictions in the 4–5 range regardless of what human scores were assigned. Essays scored 0, 1, 2, and 3 by humans are all being predicted at 4 or 5 — a near-complete failure to distinguish between weak and average essays. The Pearson r of 0.394 appears misleadingly decent; the absolute placement is consistently wrong by 2+ grades for most essays.</w:t>
      </w:r>
    </w:p>
    <w:p w14:paraId="5A859FCE">
      <w:pPr>
        <w:pStyle w:val="4"/>
        <w:spacing w:before="120" w:after="40"/>
      </w:pPr>
      <w:r>
        <w:t>Confusion Matrix Analysis</w:t>
      </w:r>
    </w:p>
    <w:p w14:paraId="75C2026F">
      <w:pPr>
        <w:spacing w:before="0" w:after="60"/>
      </w:pPr>
      <w:r>
        <w:t>Column 4 completely dominates the matrix — 23 essays where the human gave score 2 were predicted as 4, and 10 essays where the human gave score 3 were predicted as 4. Score 0 essays were predicted as 4 or 5 in 12 out of 15 cases. Only 7% exact match confirms correct predictions are extremely rare.</w:t>
      </w:r>
    </w:p>
    <w:p w14:paraId="1AAF4607">
      <w:pPr>
        <w:pStyle w:val="4"/>
        <w:spacing w:before="120" w:after="40"/>
      </w:pPr>
      <w:r>
        <w:t>Why This Happened</w:t>
      </w:r>
    </w:p>
    <w:p w14:paraId="4A091A69">
      <w:pPr>
        <w:spacing w:before="0" w:after="60"/>
      </w:pPr>
      <w:r>
        <w:t>Mistral:7b appears to have a strong prior toward producing mid-to-high scores. This is likely a result of instruction fine-tuning that trained the model to be encouraging rather than critical. This is a model-level characteristic that cannot be corrected through rubric design alone.</w:t>
      </w:r>
    </w:p>
    <w:p w14:paraId="6D8CBD1A">
      <w:pPr>
        <w:pStyle w:val="4"/>
        <w:spacing w:before="120" w:after="40"/>
      </w:pPr>
      <w:r>
        <w:t>Assessment</w:t>
      </w:r>
    </w:p>
    <w:p w14:paraId="3FDF4013">
      <w:pPr>
        <w:spacing w:before="0" w:after="60"/>
      </w:pPr>
      <w:r>
        <w:t>Poor agreement. The ASAP rubric made no meaningful difference to Mistral's scoring behaviour. The core issue is a model-level high-score bias.</w:t>
      </w:r>
    </w:p>
    <w:p w14:paraId="5B2A0A26">
      <w:pPr>
        <w:spacing w:before="0" w:after="0"/>
      </w:pPr>
    </w:p>
    <w:p w14:paraId="6CC4FAFD">
      <w:pPr>
        <w:pStyle w:val="3"/>
        <w:spacing w:before="160" w:after="60"/>
      </w:pPr>
      <w:r>
        <w:t>Run 3 — MAGIC 5-Agent GRE Rubric + LLaMA 3.1:8b ★ Best Result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7BE6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E8F5E9"/>
            <w:tcMar>
              <w:top w:w="60" w:type="dxa"/>
              <w:left w:w="80" w:type="dxa"/>
              <w:bottom w:w="60" w:type="dxa"/>
              <w:right w:w="80" w:type="dxa"/>
            </w:tcMar>
          </w:tcPr>
          <w:p w14:paraId="13423CB7">
            <w:pPr>
              <w:spacing w:before="0" w:after="0"/>
              <w:jc w:val="center"/>
            </w:pPr>
            <w:r>
              <w:rPr>
                <w:rFonts w:ascii="Arial" w:hAnsi="Arial" w:eastAsia="Arial" w:cs="Arial"/>
                <w:b/>
                <w:bCs/>
                <w:color w:val="2E7D32"/>
                <w:sz w:val="26"/>
                <w:szCs w:val="26"/>
              </w:rPr>
              <w:t>0.396</w:t>
            </w:r>
          </w:p>
          <w:p w14:paraId="543C7B35">
            <w:pPr>
              <w:spacing w:before="0" w:after="0"/>
              <w:jc w:val="center"/>
            </w:pPr>
            <w:r>
              <w:rPr>
                <w:rFonts w:ascii="Arial" w:hAnsi="Arial" w:eastAsia="Arial" w:cs="Arial"/>
                <w:color w:val="666666"/>
                <w:sz w:val="16"/>
                <w:szCs w:val="16"/>
              </w:rPr>
              <w:t>QWK</w:t>
            </w:r>
          </w:p>
        </w:tc>
        <w:tc>
          <w:tcPr>
            <w:tcW w:w="1872" w:type="dxa"/>
            <w:tcBorders>
              <w:top w:val="single" w:color="CCCCCC" w:sz="0" w:space="0"/>
              <w:left w:val="single" w:color="CCCCCC" w:sz="0" w:space="0"/>
              <w:bottom w:val="single" w:color="CCCCCC" w:sz="0" w:space="0"/>
              <w:right w:val="single" w:color="CCCCCC" w:sz="0" w:space="0"/>
            </w:tcBorders>
            <w:shd w:val="clear" w:color="auto" w:fill="E8F5E9"/>
            <w:tcMar>
              <w:top w:w="60" w:type="dxa"/>
              <w:left w:w="80" w:type="dxa"/>
              <w:bottom w:w="60" w:type="dxa"/>
              <w:right w:w="80" w:type="dxa"/>
            </w:tcMar>
          </w:tcPr>
          <w:p w14:paraId="650E9620">
            <w:pPr>
              <w:spacing w:before="0" w:after="0"/>
              <w:jc w:val="center"/>
            </w:pPr>
            <w:r>
              <w:rPr>
                <w:rFonts w:ascii="Arial" w:hAnsi="Arial" w:eastAsia="Arial" w:cs="Arial"/>
                <w:b/>
                <w:bCs/>
                <w:color w:val="2E7D32"/>
                <w:sz w:val="26"/>
                <w:szCs w:val="26"/>
              </w:rPr>
              <w:t>0.454</w:t>
            </w:r>
          </w:p>
          <w:p w14:paraId="512A045D">
            <w:pPr>
              <w:spacing w:before="0" w:after="0"/>
              <w:jc w:val="center"/>
            </w:pPr>
            <w:r>
              <w:rPr>
                <w:rFonts w:ascii="Arial" w:hAnsi="Arial" w:eastAsia="Arial" w:cs="Arial"/>
                <w:color w:val="666666"/>
                <w:sz w:val="16"/>
                <w:szCs w:val="16"/>
              </w:rPr>
              <w:t>r</w:t>
            </w:r>
          </w:p>
        </w:tc>
        <w:tc>
          <w:tcPr>
            <w:tcW w:w="1872" w:type="dxa"/>
            <w:tcBorders>
              <w:top w:val="single" w:color="CCCCCC" w:sz="0" w:space="0"/>
              <w:left w:val="single" w:color="CCCCCC" w:sz="0" w:space="0"/>
              <w:bottom w:val="single" w:color="CCCCCC" w:sz="0" w:space="0"/>
              <w:right w:val="single" w:color="CCCCCC" w:sz="0" w:space="0"/>
            </w:tcBorders>
            <w:shd w:val="clear" w:color="auto" w:fill="E8F5E9"/>
            <w:tcMar>
              <w:top w:w="60" w:type="dxa"/>
              <w:left w:w="80" w:type="dxa"/>
              <w:bottom w:w="60" w:type="dxa"/>
              <w:right w:w="80" w:type="dxa"/>
            </w:tcMar>
          </w:tcPr>
          <w:p w14:paraId="7D63D656">
            <w:pPr>
              <w:spacing w:before="0" w:after="0"/>
              <w:jc w:val="center"/>
            </w:pPr>
            <w:r>
              <w:rPr>
                <w:rFonts w:ascii="Arial" w:hAnsi="Arial" w:eastAsia="Arial" w:cs="Arial"/>
                <w:b/>
                <w:bCs/>
                <w:color w:val="2E7D32"/>
                <w:sz w:val="26"/>
                <w:szCs w:val="26"/>
              </w:rPr>
              <w:t>0.820</w:t>
            </w:r>
          </w:p>
          <w:p w14:paraId="76BC45F4">
            <w:pPr>
              <w:spacing w:before="0" w:after="0"/>
              <w:jc w:val="center"/>
            </w:pPr>
            <w:r>
              <w:rPr>
                <w:rFonts w:ascii="Arial" w:hAnsi="Arial" w:eastAsia="Arial" w:cs="Arial"/>
                <w:color w:val="666666"/>
                <w:sz w:val="16"/>
                <w:szCs w:val="16"/>
              </w:rPr>
              <w:t>MAE</w:t>
            </w:r>
          </w:p>
        </w:tc>
        <w:tc>
          <w:tcPr>
            <w:tcW w:w="1872" w:type="dxa"/>
            <w:tcBorders>
              <w:top w:val="single" w:color="CCCCCC" w:sz="0" w:space="0"/>
              <w:left w:val="single" w:color="CCCCCC" w:sz="0" w:space="0"/>
              <w:bottom w:val="single" w:color="CCCCCC" w:sz="0" w:space="0"/>
              <w:right w:val="single" w:color="CCCCCC" w:sz="0" w:space="0"/>
            </w:tcBorders>
            <w:shd w:val="clear" w:color="auto" w:fill="E8F5E9"/>
            <w:tcMar>
              <w:top w:w="60" w:type="dxa"/>
              <w:left w:w="80" w:type="dxa"/>
              <w:bottom w:w="60" w:type="dxa"/>
              <w:right w:w="80" w:type="dxa"/>
            </w:tcMar>
          </w:tcPr>
          <w:p w14:paraId="6186126A">
            <w:pPr>
              <w:spacing w:before="0" w:after="0"/>
              <w:jc w:val="center"/>
            </w:pPr>
            <w:r>
              <w:rPr>
                <w:rFonts w:ascii="Arial" w:hAnsi="Arial" w:eastAsia="Arial" w:cs="Arial"/>
                <w:b/>
                <w:bCs/>
                <w:color w:val="2E7D32"/>
                <w:sz w:val="26"/>
                <w:szCs w:val="26"/>
              </w:rPr>
              <w:t>44%</w:t>
            </w:r>
          </w:p>
          <w:p w14:paraId="2D5C5E53">
            <w:pPr>
              <w:spacing w:before="0" w:after="0"/>
              <w:jc w:val="center"/>
            </w:pPr>
            <w:r>
              <w:rPr>
                <w:rFonts w:ascii="Arial" w:hAnsi="Arial" w:eastAsia="Arial" w:cs="Arial"/>
                <w:color w:val="666666"/>
                <w:sz w:val="16"/>
                <w:szCs w:val="16"/>
              </w:rPr>
              <w:t>Exact %</w:t>
            </w:r>
          </w:p>
        </w:tc>
        <w:tc>
          <w:tcPr>
            <w:tcW w:w="1872" w:type="dxa"/>
            <w:tcBorders>
              <w:top w:val="single" w:color="CCCCCC" w:sz="0" w:space="0"/>
              <w:left w:val="single" w:color="CCCCCC" w:sz="0" w:space="0"/>
              <w:bottom w:val="single" w:color="CCCCCC" w:sz="0" w:space="0"/>
              <w:right w:val="single" w:color="CCCCCC" w:sz="0" w:space="0"/>
            </w:tcBorders>
            <w:shd w:val="clear" w:color="auto" w:fill="E8F5E9"/>
            <w:tcMar>
              <w:top w:w="60" w:type="dxa"/>
              <w:left w:w="80" w:type="dxa"/>
              <w:bottom w:w="60" w:type="dxa"/>
              <w:right w:w="80" w:type="dxa"/>
            </w:tcMar>
          </w:tcPr>
          <w:p w14:paraId="6B9607D2">
            <w:pPr>
              <w:spacing w:before="0" w:after="0"/>
              <w:jc w:val="center"/>
            </w:pPr>
            <w:r>
              <w:rPr>
                <w:rFonts w:ascii="Arial" w:hAnsi="Arial" w:eastAsia="Arial" w:cs="Arial"/>
                <w:b/>
                <w:bCs/>
                <w:color w:val="2E7D32"/>
                <w:sz w:val="26"/>
                <w:szCs w:val="26"/>
              </w:rPr>
              <w:t>77%</w:t>
            </w:r>
          </w:p>
          <w:p w14:paraId="0D96A509">
            <w:pPr>
              <w:spacing w:before="0" w:after="0"/>
              <w:jc w:val="center"/>
            </w:pPr>
            <w:r>
              <w:rPr>
                <w:rFonts w:ascii="Arial" w:hAnsi="Arial" w:eastAsia="Arial" w:cs="Arial"/>
                <w:color w:val="666666"/>
                <w:sz w:val="16"/>
                <w:szCs w:val="16"/>
              </w:rPr>
              <w:t>±1 %</w:t>
            </w:r>
          </w:p>
        </w:tc>
      </w:tr>
    </w:tbl>
    <w:p w14:paraId="37AF03DE">
      <w:pPr>
        <w:spacing w:before="40" w:after="40"/>
      </w:pPr>
      <w:r>
        <w:rPr>
          <w:rFonts w:ascii="Arial" w:hAnsi="Arial" w:eastAsia="Arial" w:cs="Arial"/>
          <w:b/>
          <w:bCs/>
        </w:rPr>
        <w:t xml:space="preserve">Grade: </w:t>
      </w:r>
      <w:r>
        <w:rPr>
          <w:rFonts w:ascii="Arial" w:hAnsi="Arial" w:eastAsia="Arial" w:cs="Arial"/>
        </w:rPr>
        <w:t>Fair to Moderate (Best Configuration)</w:t>
      </w:r>
    </w:p>
    <w:p w14:paraId="48DDC7E4">
      <w:pPr>
        <w:pStyle w:val="4"/>
        <w:spacing w:before="120" w:after="40"/>
      </w:pPr>
      <w:r>
        <w:t>Overview</w:t>
      </w:r>
    </w:p>
    <w:p w14:paraId="3BEFC60D">
      <w:pPr>
        <w:spacing w:before="0" w:after="60"/>
        <w:rPr>
          <w:rFonts w:hint="default"/>
          <w:lang w:val="en-IN"/>
        </w:rPr>
      </w:pPr>
      <w:r>
        <w:t>This is the best performing configuration in the entire study. The 5-agent GRE rubric assigns one specialist agent each to: (1) Quality of response to the prompt, (2) Considering complexity of the issue, (3) Organisation and development, (4) Vocabulary and sentence variety, and (5) Grammar and mechanics. Despite being designed for graduate-level writing, they provided sufficient structure for LLaMA to produce scores meaningfully aligned with human judgement.</w:t>
      </w:r>
      <w:r>
        <w:br w:type="textWrapping"/>
      </w:r>
    </w:p>
    <w:p w14:paraId="412E0D87">
      <w:pPr>
        <w:pStyle w:val="4"/>
        <w:spacing w:before="120" w:after="40"/>
      </w:pPr>
      <w:r>
        <w:t>Scatter Plot Analysis</w:t>
      </w:r>
    </w:p>
    <w:p w14:paraId="102EEA0E">
      <w:pPr>
        <w:spacing w:before="0" w:after="60"/>
        <w:rPr>
          <w:rFonts w:hint="default"/>
          <w:lang w:val="en-IN"/>
        </w:rPr>
      </w:pPr>
      <w:r>
        <w:rPr>
          <w:rFonts w:hint="default"/>
          <w:lang w:val="en-IN"/>
        </w:rPr>
        <w:drawing>
          <wp:inline distT="0" distB="0" distL="114300" distR="114300">
            <wp:extent cx="3041015" cy="2369820"/>
            <wp:effectExtent l="0" t="0" r="6985" b="7620"/>
            <wp:docPr id="7" name="Picture 7" descr="MAGIC_5_Agent_LLama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GIC_5_Agent_LLama_Plot"/>
                    <pic:cNvPicPr>
                      <a:picLocks noChangeAspect="1"/>
                    </pic:cNvPicPr>
                  </pic:nvPicPr>
                  <pic:blipFill>
                    <a:blip r:embed="rId9"/>
                    <a:stretch>
                      <a:fillRect/>
                    </a:stretch>
                  </pic:blipFill>
                  <pic:spPr>
                    <a:xfrm>
                      <a:off x="0" y="0"/>
                      <a:ext cx="3041015" cy="2369820"/>
                    </a:xfrm>
                    <a:prstGeom prst="rect">
                      <a:avLst/>
                    </a:prstGeom>
                  </pic:spPr>
                </pic:pic>
              </a:graphicData>
            </a:graphic>
          </wp:inline>
        </w:drawing>
      </w:r>
      <w:r>
        <w:rPr>
          <w:rFonts w:hint="default"/>
          <w:lang w:val="en-IN"/>
        </w:rPr>
        <w:drawing>
          <wp:inline distT="0" distB="0" distL="114300" distR="114300">
            <wp:extent cx="3037840" cy="2371725"/>
            <wp:effectExtent l="0" t="0" r="10160" b="5715"/>
            <wp:docPr id="8" name="Picture 8" descr="MAGIC_5_Agent_LLama_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GIC_5_Agent_LLama_Confusion"/>
                    <pic:cNvPicPr>
                      <a:picLocks noChangeAspect="1"/>
                    </pic:cNvPicPr>
                  </pic:nvPicPr>
                  <pic:blipFill>
                    <a:blip r:embed="rId10"/>
                    <a:stretch>
                      <a:fillRect/>
                    </a:stretch>
                  </pic:blipFill>
                  <pic:spPr>
                    <a:xfrm>
                      <a:off x="0" y="0"/>
                      <a:ext cx="3037840" cy="2371725"/>
                    </a:xfrm>
                    <a:prstGeom prst="rect">
                      <a:avLst/>
                    </a:prstGeom>
                  </pic:spPr>
                </pic:pic>
              </a:graphicData>
            </a:graphic>
          </wp:inline>
        </w:drawing>
      </w:r>
    </w:p>
    <w:p w14:paraId="398AAB1A">
      <w:pPr>
        <w:spacing w:before="0" w:after="60"/>
        <w:rPr>
          <w:rFonts w:hint="default"/>
          <w:lang w:val="en-IN"/>
        </w:rPr>
      </w:pPr>
    </w:p>
    <w:p w14:paraId="47003078">
      <w:pPr>
        <w:spacing w:before="0" w:after="60"/>
      </w:pPr>
      <w:r>
        <w:t>This scatter plot shows the strongest diagonal alignment of all runs. Predictions are spread across scores 2–4, broadly tracking the human score distribution. The under-scoring bias is present but predictable — the model consistently scores 1 grade below the human — which is a systematic and correctable pattern. There are no extreme outliers.</w:t>
      </w:r>
    </w:p>
    <w:p w14:paraId="4F67C6F7">
      <w:pPr>
        <w:pStyle w:val="4"/>
        <w:spacing w:before="120" w:after="40"/>
      </w:pPr>
      <w:r>
        <w:t>Confusion Matrix Analysis</w:t>
      </w:r>
    </w:p>
    <w:p w14:paraId="4E4C9FAC">
      <w:pPr>
        <w:spacing w:before="0" w:after="60"/>
      </w:pPr>
      <w:r>
        <w:t>The strongest diagonal performance of all 4 runs. 29 correct predictions at score 2, 11 correct at score 3, and 4 correct at score 4. The main error pattern is under-scoring in the 2–3 range: 13 essays where the human gave 3 were predicted as 2. The confusion matrix is compact and close to the diagonal compared to all other runs.</w:t>
      </w:r>
    </w:p>
    <w:p w14:paraId="7CF1B84A">
      <w:pPr>
        <w:pStyle w:val="4"/>
        <w:spacing w:before="120" w:after="40"/>
      </w:pPr>
      <w:r>
        <w:t>Why This Happened</w:t>
      </w:r>
    </w:p>
    <w:p w14:paraId="50C9B792">
      <w:pPr>
        <w:spacing w:before="0" w:after="60"/>
      </w:pPr>
      <w:r>
        <w:t>The 5 detailed GRE rubric dimensions gave LLaMA clear, structured scoring criteria across multiple aspects of writing. Even though these criteria were designed for GRE, the underlying qualities they measure — argumentation, organisation, vocabulary, grammar — are universal to good writing at any level.</w:t>
      </w:r>
    </w:p>
    <w:p w14:paraId="63954061">
      <w:pPr>
        <w:pStyle w:val="4"/>
        <w:spacing w:before="120" w:after="40"/>
      </w:pPr>
      <w:r>
        <w:t>Assessment</w:t>
      </w:r>
    </w:p>
    <w:p w14:paraId="76602E08">
      <w:pPr>
        <w:spacing w:before="0" w:after="60"/>
      </w:pPr>
      <w:r>
        <w:t>Fair to borderline Moderate agreement. MAE of 0.82 means on average the model is off by less than 1 grade. 77% of essays within ±1 meets the industry acceptable threshold. This is the recommended configuration for continued development.</w:t>
      </w:r>
    </w:p>
    <w:p w14:paraId="1B073AA6">
      <w:pPr>
        <w:spacing w:before="0" w:after="0"/>
      </w:pPr>
    </w:p>
    <w:p w14:paraId="401A3F8E">
      <w:pPr>
        <w:pStyle w:val="3"/>
        <w:spacing w:before="160" w:after="60"/>
      </w:pPr>
      <w:r>
        <w:t>Run 4 — MAGIC 5-Agent GRE Rubric + Mistral:7b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0B89D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259FF7E9">
            <w:pPr>
              <w:spacing w:before="0" w:after="0"/>
              <w:jc w:val="center"/>
            </w:pPr>
            <w:r>
              <w:rPr>
                <w:rFonts w:ascii="Arial" w:hAnsi="Arial" w:eastAsia="Arial" w:cs="Arial"/>
                <w:b/>
                <w:bCs/>
                <w:color w:val="BF360C"/>
                <w:sz w:val="26"/>
                <w:szCs w:val="26"/>
              </w:rPr>
              <w:t>0.108</w:t>
            </w:r>
          </w:p>
          <w:p w14:paraId="02BE322B">
            <w:pPr>
              <w:spacing w:before="0" w:after="0"/>
              <w:jc w:val="center"/>
            </w:pPr>
            <w:r>
              <w:rPr>
                <w:rFonts w:ascii="Arial" w:hAnsi="Arial" w:eastAsia="Arial" w:cs="Arial"/>
                <w:color w:val="666666"/>
                <w:sz w:val="16"/>
                <w:szCs w:val="16"/>
              </w:rPr>
              <w:t>QWK</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47F1CB57">
            <w:pPr>
              <w:spacing w:before="0" w:after="0"/>
              <w:jc w:val="center"/>
            </w:pPr>
            <w:r>
              <w:rPr>
                <w:rFonts w:ascii="Arial" w:hAnsi="Arial" w:eastAsia="Arial" w:cs="Arial"/>
                <w:b/>
                <w:bCs/>
                <w:color w:val="BF360C"/>
                <w:sz w:val="26"/>
                <w:szCs w:val="26"/>
              </w:rPr>
              <w:t>0.355</w:t>
            </w:r>
          </w:p>
          <w:p w14:paraId="6CCFC880">
            <w:pPr>
              <w:spacing w:before="0" w:after="0"/>
              <w:jc w:val="center"/>
            </w:pPr>
            <w:r>
              <w:rPr>
                <w:rFonts w:ascii="Arial" w:hAnsi="Arial" w:eastAsia="Arial" w:cs="Arial"/>
                <w:color w:val="666666"/>
                <w:sz w:val="16"/>
                <w:szCs w:val="16"/>
              </w:rPr>
              <w:t>r</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43D1F51E">
            <w:pPr>
              <w:spacing w:before="0" w:after="0"/>
              <w:jc w:val="center"/>
            </w:pPr>
            <w:r>
              <w:rPr>
                <w:rFonts w:ascii="Arial" w:hAnsi="Arial" w:eastAsia="Arial" w:cs="Arial"/>
                <w:b/>
                <w:bCs/>
                <w:color w:val="BF360C"/>
                <w:sz w:val="26"/>
                <w:szCs w:val="26"/>
              </w:rPr>
              <w:t>2.030</w:t>
            </w:r>
          </w:p>
          <w:p w14:paraId="6CFF4009">
            <w:pPr>
              <w:spacing w:before="0" w:after="0"/>
              <w:jc w:val="center"/>
            </w:pPr>
            <w:r>
              <w:rPr>
                <w:rFonts w:ascii="Arial" w:hAnsi="Arial" w:eastAsia="Arial" w:cs="Arial"/>
                <w:color w:val="666666"/>
                <w:sz w:val="16"/>
                <w:szCs w:val="16"/>
              </w:rPr>
              <w:t>MAE</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4D277539">
            <w:pPr>
              <w:spacing w:before="0" w:after="0"/>
              <w:jc w:val="center"/>
            </w:pPr>
            <w:r>
              <w:rPr>
                <w:rFonts w:ascii="Arial" w:hAnsi="Arial" w:eastAsia="Arial" w:cs="Arial"/>
                <w:b/>
                <w:bCs/>
                <w:color w:val="BF360C"/>
                <w:sz w:val="26"/>
                <w:szCs w:val="26"/>
              </w:rPr>
              <w:t>4%</w:t>
            </w:r>
          </w:p>
          <w:p w14:paraId="3E77807B">
            <w:pPr>
              <w:spacing w:before="0" w:after="0"/>
              <w:jc w:val="center"/>
            </w:pPr>
            <w:r>
              <w:rPr>
                <w:rFonts w:ascii="Arial" w:hAnsi="Arial" w:eastAsia="Arial" w:cs="Arial"/>
                <w:color w:val="666666"/>
                <w:sz w:val="16"/>
                <w:szCs w:val="16"/>
              </w:rPr>
              <w:t>Exact %</w:t>
            </w:r>
          </w:p>
        </w:tc>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5FB4CAE6">
            <w:pPr>
              <w:spacing w:before="0" w:after="0"/>
              <w:jc w:val="center"/>
            </w:pPr>
            <w:r>
              <w:rPr>
                <w:rFonts w:ascii="Arial" w:hAnsi="Arial" w:eastAsia="Arial" w:cs="Arial"/>
                <w:b/>
                <w:bCs/>
                <w:color w:val="BF360C"/>
                <w:sz w:val="26"/>
                <w:szCs w:val="26"/>
              </w:rPr>
              <w:t>30%</w:t>
            </w:r>
          </w:p>
          <w:p w14:paraId="4E448827">
            <w:pPr>
              <w:spacing w:before="0" w:after="0"/>
              <w:jc w:val="center"/>
            </w:pPr>
            <w:r>
              <w:rPr>
                <w:rFonts w:ascii="Arial" w:hAnsi="Arial" w:eastAsia="Arial" w:cs="Arial"/>
                <w:color w:val="666666"/>
                <w:sz w:val="16"/>
                <w:szCs w:val="16"/>
              </w:rPr>
              <w:t>±1 %</w:t>
            </w:r>
          </w:p>
        </w:tc>
      </w:tr>
    </w:tbl>
    <w:p w14:paraId="15853D7B">
      <w:pPr>
        <w:spacing w:before="40" w:after="40"/>
      </w:pPr>
      <w:r>
        <w:rPr>
          <w:rFonts w:ascii="Arial" w:hAnsi="Arial" w:eastAsia="Arial" w:cs="Arial"/>
          <w:b/>
          <w:bCs/>
        </w:rPr>
        <w:t xml:space="preserve">Grade: </w:t>
      </w:r>
      <w:r>
        <w:rPr>
          <w:rFonts w:ascii="Arial" w:hAnsi="Arial" w:eastAsia="Arial" w:cs="Arial"/>
        </w:rPr>
        <w:t>Poor (Worst Configuration)</w:t>
      </w:r>
    </w:p>
    <w:p w14:paraId="420C33D2">
      <w:pPr>
        <w:pStyle w:val="4"/>
        <w:spacing w:before="120" w:after="40"/>
      </w:pPr>
      <w:r>
        <w:t>Overview</w:t>
      </w:r>
    </w:p>
    <w:p w14:paraId="02A65166">
      <w:pPr>
        <w:spacing w:before="0" w:after="60"/>
      </w:pPr>
      <w:r>
        <w:t>This run used the full original MAGIC pipeline — 5 GRE specialist agents feeding into an orchestrator — but with Mistral:7b. This represents the most direct test of model quality and confirms that Mistral:7b is fundamentally unsuited to this scoring task regardless of rubric quality.</w:t>
      </w:r>
    </w:p>
    <w:p w14:paraId="6366CD62">
      <w:pPr>
        <w:spacing w:before="0" w:after="60"/>
        <w:rPr>
          <w:rFonts w:hint="default"/>
          <w:lang w:val="en-IN"/>
        </w:rPr>
      </w:pPr>
      <w:r>
        <w:rPr>
          <w:rFonts w:hint="default"/>
          <w:lang w:val="en-IN"/>
        </w:rPr>
        <w:drawing>
          <wp:inline distT="0" distB="0" distL="114300" distR="114300">
            <wp:extent cx="3092450" cy="2623185"/>
            <wp:effectExtent l="0" t="0" r="1270" b="13335"/>
            <wp:docPr id="9" name="Picture 9" descr="MAGIC_5_Agent_Mistral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GIC_5_Agent_Mistral_Plot"/>
                    <pic:cNvPicPr>
                      <a:picLocks noChangeAspect="1"/>
                    </pic:cNvPicPr>
                  </pic:nvPicPr>
                  <pic:blipFill>
                    <a:blip r:embed="rId11"/>
                    <a:stretch>
                      <a:fillRect/>
                    </a:stretch>
                  </pic:blipFill>
                  <pic:spPr>
                    <a:xfrm>
                      <a:off x="0" y="0"/>
                      <a:ext cx="3092450" cy="2623185"/>
                    </a:xfrm>
                    <a:prstGeom prst="rect">
                      <a:avLst/>
                    </a:prstGeom>
                  </pic:spPr>
                </pic:pic>
              </a:graphicData>
            </a:graphic>
          </wp:inline>
        </w:drawing>
      </w:r>
      <w:r>
        <w:rPr>
          <w:rFonts w:hint="default"/>
          <w:lang w:val="en-IN"/>
        </w:rPr>
        <w:drawing>
          <wp:inline distT="0" distB="0" distL="114300" distR="114300">
            <wp:extent cx="3023870" cy="2634615"/>
            <wp:effectExtent l="0" t="0" r="8890" b="1905"/>
            <wp:docPr id="10" name="Picture 10" descr="MAGIC_5_Agent_Mistral_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AGIC_5_Agent_Mistral_Confusion"/>
                    <pic:cNvPicPr>
                      <a:picLocks noChangeAspect="1"/>
                    </pic:cNvPicPr>
                  </pic:nvPicPr>
                  <pic:blipFill>
                    <a:blip r:embed="rId12"/>
                    <a:stretch>
                      <a:fillRect/>
                    </a:stretch>
                  </pic:blipFill>
                  <pic:spPr>
                    <a:xfrm>
                      <a:off x="0" y="0"/>
                      <a:ext cx="3023870" cy="2634615"/>
                    </a:xfrm>
                    <a:prstGeom prst="rect">
                      <a:avLst/>
                    </a:prstGeom>
                  </pic:spPr>
                </pic:pic>
              </a:graphicData>
            </a:graphic>
          </wp:inline>
        </w:drawing>
      </w:r>
    </w:p>
    <w:p w14:paraId="53F37F13">
      <w:pPr>
        <w:pStyle w:val="4"/>
        <w:spacing w:before="120" w:after="40"/>
      </w:pPr>
      <w:r>
        <w:t>Scatter Plot Analysis</w:t>
      </w:r>
    </w:p>
    <w:p w14:paraId="7F033FB9">
      <w:pPr>
        <w:spacing w:before="0" w:after="60"/>
      </w:pPr>
      <w:r>
        <w:t>The scatter plot reveals the most severe scoring bias of all runs. Almost every prediction falls between 4 and 5, regardless of the human score. The dashed diagonal line has almost no dots near it below score 4.</w:t>
      </w:r>
    </w:p>
    <w:p w14:paraId="2CC03325">
      <w:pPr>
        <w:pStyle w:val="4"/>
        <w:spacing w:before="120" w:after="40"/>
      </w:pPr>
      <w:r>
        <w:t>Confusion Matrix Analysis</w:t>
      </w:r>
    </w:p>
    <w:p w14:paraId="349602C9">
      <w:pPr>
        <w:spacing w:before="0" w:after="60"/>
      </w:pPr>
      <w:r>
        <w:t>The confusion matrix shows the most extreme off-diagonal pattern of all runs. Essays with human score 2 were predicted as 4 in 29 of 41 cases — 71% of all score-2 essays over-scored by 2 full grade points. Essays with human score 0 were predicted as 4 or 5 in 12 of 15 cases. Only 4% exact match — the lowest of all runs.</w:t>
      </w:r>
    </w:p>
    <w:p w14:paraId="244C9D3B">
      <w:pPr>
        <w:pStyle w:val="4"/>
        <w:spacing w:before="120" w:after="40"/>
      </w:pPr>
      <w:r>
        <w:t>Why This Happened</w:t>
      </w:r>
    </w:p>
    <w:p w14:paraId="04E5D71B">
      <w:pPr>
        <w:spacing w:before="0" w:after="60"/>
      </w:pPr>
      <w:r>
        <w:t>The 5 rubric agents each call the same underlying Mistral model, which applies a consistent high-score interpretation to every rubric dimension. When all 5 agents over-score, the orchestrator receives 5 inflated scores. The multi-agent architecture actually amplifies the bias — more agents means more opportunities for the same bias to compound.</w:t>
      </w:r>
    </w:p>
    <w:p w14:paraId="64029AE8">
      <w:pPr>
        <w:pStyle w:val="4"/>
        <w:spacing w:before="120" w:after="40"/>
      </w:pPr>
      <w:r>
        <w:t>Assessment</w:t>
      </w:r>
    </w:p>
    <w:p w14:paraId="5A1034EF">
      <w:pPr>
        <w:spacing w:before="0" w:after="60"/>
      </w:pPr>
      <w:r>
        <w:t>Poor agreement. This is the lowest performing configuration in the study. The combination of the most detailed rubric with the model most prone to bias produced the worst results.</w:t>
      </w:r>
    </w:p>
    <w:p w14:paraId="5BAF1EDF">
      <w:pPr>
        <w:spacing w:before="0" w:after="0"/>
      </w:pPr>
    </w:p>
    <w:p w14:paraId="2F77636F">
      <w:pPr>
        <w:spacing w:before="0" w:after="0"/>
      </w:pPr>
    </w:p>
    <w:p w14:paraId="441345AB">
      <w:pPr>
        <w:pStyle w:val="3"/>
        <w:spacing w:before="160" w:after="60"/>
      </w:pPr>
      <w:r>
        <w:t>Run 6 — MAGIC 5-Agent GRE Rubric + Gemma3:12b ★ Notable Result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2F57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3E0"/>
            <w:tcMar>
              <w:top w:w="60" w:type="dxa"/>
              <w:left w:w="80" w:type="dxa"/>
              <w:bottom w:w="60" w:type="dxa"/>
              <w:right w:w="80" w:type="dxa"/>
            </w:tcMar>
          </w:tcPr>
          <w:p w14:paraId="2433D155">
            <w:pPr>
              <w:spacing w:before="0" w:after="0"/>
              <w:jc w:val="center"/>
            </w:pPr>
            <w:r>
              <w:rPr>
                <w:rFonts w:ascii="Arial" w:hAnsi="Arial" w:eastAsia="Arial" w:cs="Arial"/>
                <w:b/>
                <w:bCs/>
                <w:color w:val="BF360C"/>
                <w:sz w:val="26"/>
                <w:szCs w:val="26"/>
              </w:rPr>
              <w:t>0.346</w:t>
            </w:r>
          </w:p>
          <w:p w14:paraId="232923FD">
            <w:pPr>
              <w:spacing w:before="0" w:after="0"/>
              <w:jc w:val="center"/>
            </w:pPr>
            <w:r>
              <w:rPr>
                <w:rFonts w:ascii="Arial" w:hAnsi="Arial" w:eastAsia="Arial" w:cs="Arial"/>
                <w:color w:val="666666"/>
                <w:sz w:val="16"/>
                <w:szCs w:val="16"/>
              </w:rPr>
              <w:t>QWK</w:t>
            </w:r>
          </w:p>
        </w:tc>
        <w:tc>
          <w:tcPr>
            <w:tcW w:w="1872" w:type="dxa"/>
            <w:tcBorders>
              <w:top w:val="single" w:color="CCCCCC" w:sz="0" w:space="0"/>
              <w:left w:val="single" w:color="CCCCCC" w:sz="0" w:space="0"/>
              <w:bottom w:val="single" w:color="CCCCCC" w:sz="0" w:space="0"/>
              <w:right w:val="single" w:color="CCCCCC" w:sz="0" w:space="0"/>
            </w:tcBorders>
            <w:shd w:val="clear" w:color="auto" w:fill="E8F5E9"/>
            <w:tcMar>
              <w:top w:w="60" w:type="dxa"/>
              <w:left w:w="80" w:type="dxa"/>
              <w:bottom w:w="60" w:type="dxa"/>
              <w:right w:w="80" w:type="dxa"/>
            </w:tcMar>
          </w:tcPr>
          <w:p w14:paraId="5BC0BFAA">
            <w:pPr>
              <w:spacing w:before="0" w:after="0"/>
              <w:jc w:val="center"/>
            </w:pPr>
            <w:r>
              <w:rPr>
                <w:rFonts w:ascii="Arial" w:hAnsi="Arial" w:eastAsia="Arial" w:cs="Arial"/>
                <w:b/>
                <w:bCs/>
                <w:color w:val="2E7D32"/>
                <w:sz w:val="26"/>
                <w:szCs w:val="26"/>
              </w:rPr>
              <w:t>0.413</w:t>
            </w:r>
          </w:p>
          <w:p w14:paraId="60FB4FD5">
            <w:pPr>
              <w:spacing w:before="0" w:after="0"/>
              <w:jc w:val="center"/>
            </w:pPr>
            <w:r>
              <w:rPr>
                <w:rFonts w:ascii="Arial" w:hAnsi="Arial" w:eastAsia="Arial" w:cs="Arial"/>
                <w:color w:val="666666"/>
                <w:sz w:val="16"/>
                <w:szCs w:val="16"/>
              </w:rPr>
              <w:t>r</w:t>
            </w:r>
          </w:p>
        </w:tc>
        <w:tc>
          <w:tcPr>
            <w:tcW w:w="1872" w:type="dxa"/>
            <w:tcBorders>
              <w:top w:val="single" w:color="CCCCCC" w:sz="0" w:space="0"/>
              <w:left w:val="single" w:color="CCCCCC" w:sz="0" w:space="0"/>
              <w:bottom w:val="single" w:color="CCCCCC" w:sz="0" w:space="0"/>
              <w:right w:val="single" w:color="CCCCCC" w:sz="0" w:space="0"/>
            </w:tcBorders>
            <w:shd w:val="clear" w:color="auto" w:fill="E8F5E9"/>
            <w:tcMar>
              <w:top w:w="60" w:type="dxa"/>
              <w:left w:w="80" w:type="dxa"/>
              <w:bottom w:w="60" w:type="dxa"/>
              <w:right w:w="80" w:type="dxa"/>
            </w:tcMar>
          </w:tcPr>
          <w:p w14:paraId="2190A3BA">
            <w:pPr>
              <w:spacing w:before="0" w:after="0"/>
              <w:jc w:val="center"/>
            </w:pPr>
            <w:r>
              <w:rPr>
                <w:rFonts w:ascii="Arial" w:hAnsi="Arial" w:eastAsia="Arial" w:cs="Arial"/>
                <w:b/>
                <w:bCs/>
                <w:color w:val="2E7D32"/>
                <w:sz w:val="26"/>
                <w:szCs w:val="26"/>
              </w:rPr>
              <w:t>0.980</w:t>
            </w:r>
          </w:p>
          <w:p w14:paraId="154B4CA0">
            <w:pPr>
              <w:spacing w:before="0" w:after="0"/>
              <w:jc w:val="center"/>
            </w:pPr>
            <w:r>
              <w:rPr>
                <w:rFonts w:ascii="Arial" w:hAnsi="Arial" w:eastAsia="Arial" w:cs="Arial"/>
                <w:color w:val="666666"/>
                <w:sz w:val="16"/>
                <w:szCs w:val="16"/>
              </w:rPr>
              <w:t>MAE</w:t>
            </w:r>
          </w:p>
        </w:tc>
        <w:tc>
          <w:tcPr>
            <w:tcW w:w="1872" w:type="dxa"/>
            <w:tcBorders>
              <w:top w:val="single" w:color="CCCCCC" w:sz="0" w:space="0"/>
              <w:left w:val="single" w:color="CCCCCC" w:sz="0" w:space="0"/>
              <w:bottom w:val="single" w:color="CCCCCC" w:sz="0" w:space="0"/>
              <w:right w:val="single" w:color="CCCCCC" w:sz="0" w:space="0"/>
            </w:tcBorders>
            <w:shd w:val="clear" w:color="auto" w:fill="E8F5E9"/>
            <w:tcMar>
              <w:top w:w="60" w:type="dxa"/>
              <w:left w:w="80" w:type="dxa"/>
              <w:bottom w:w="60" w:type="dxa"/>
              <w:right w:w="80" w:type="dxa"/>
            </w:tcMar>
          </w:tcPr>
          <w:p w14:paraId="67B6C831">
            <w:pPr>
              <w:spacing w:before="0" w:after="0"/>
              <w:jc w:val="center"/>
            </w:pPr>
            <w:r>
              <w:rPr>
                <w:rFonts w:ascii="Arial" w:hAnsi="Arial" w:eastAsia="Arial" w:cs="Arial"/>
                <w:b/>
                <w:bCs/>
                <w:color w:val="2E7D32"/>
                <w:sz w:val="26"/>
                <w:szCs w:val="26"/>
              </w:rPr>
              <w:t>31%</w:t>
            </w:r>
          </w:p>
          <w:p w14:paraId="0F370F9A">
            <w:pPr>
              <w:spacing w:before="0" w:after="0"/>
              <w:jc w:val="center"/>
            </w:pPr>
            <w:r>
              <w:rPr>
                <w:rFonts w:ascii="Arial" w:hAnsi="Arial" w:eastAsia="Arial" w:cs="Arial"/>
                <w:color w:val="666666"/>
                <w:sz w:val="16"/>
                <w:szCs w:val="16"/>
              </w:rPr>
              <w:t>Exact %</w:t>
            </w:r>
          </w:p>
        </w:tc>
        <w:tc>
          <w:tcPr>
            <w:tcW w:w="1872" w:type="dxa"/>
            <w:tcBorders>
              <w:top w:val="single" w:color="CCCCCC" w:sz="0" w:space="0"/>
              <w:left w:val="single" w:color="CCCCCC" w:sz="0" w:space="0"/>
              <w:bottom w:val="single" w:color="CCCCCC" w:sz="0" w:space="0"/>
              <w:right w:val="single" w:color="CCCCCC" w:sz="0" w:space="0"/>
            </w:tcBorders>
            <w:shd w:val="clear" w:color="auto" w:fill="E8F5E9"/>
            <w:tcMar>
              <w:top w:w="60" w:type="dxa"/>
              <w:left w:w="80" w:type="dxa"/>
              <w:bottom w:w="60" w:type="dxa"/>
              <w:right w:w="80" w:type="dxa"/>
            </w:tcMar>
          </w:tcPr>
          <w:p w14:paraId="28F48823">
            <w:pPr>
              <w:spacing w:before="0" w:after="0"/>
              <w:jc w:val="center"/>
            </w:pPr>
            <w:r>
              <w:rPr>
                <w:rFonts w:ascii="Arial" w:hAnsi="Arial" w:eastAsia="Arial" w:cs="Arial"/>
                <w:b/>
                <w:bCs/>
                <w:color w:val="2E7D32"/>
                <w:sz w:val="26"/>
                <w:szCs w:val="26"/>
              </w:rPr>
              <w:t>80%</w:t>
            </w:r>
          </w:p>
          <w:p w14:paraId="2BD6FE20">
            <w:pPr>
              <w:spacing w:before="0" w:after="0"/>
              <w:jc w:val="center"/>
            </w:pPr>
            <w:r>
              <w:rPr>
                <w:rFonts w:ascii="Arial" w:hAnsi="Arial" w:eastAsia="Arial" w:cs="Arial"/>
                <w:color w:val="666666"/>
                <w:sz w:val="16"/>
                <w:szCs w:val="16"/>
              </w:rPr>
              <w:t>±1 %</w:t>
            </w:r>
          </w:p>
        </w:tc>
      </w:tr>
    </w:tbl>
    <w:p w14:paraId="5E556C9C">
      <w:pPr>
        <w:spacing w:before="40" w:after="40"/>
      </w:pPr>
      <w:r>
        <w:rPr>
          <w:rFonts w:ascii="Arial" w:hAnsi="Arial" w:eastAsia="Arial" w:cs="Arial"/>
          <w:b/>
          <w:bCs/>
        </w:rPr>
        <w:t xml:space="preserve">Grade: </w:t>
      </w:r>
      <w:r>
        <w:rPr>
          <w:rFonts w:ascii="Arial" w:hAnsi="Arial" w:eastAsia="Arial" w:cs="Arial"/>
        </w:rPr>
        <w:t>Fair (Only model to partially overcome leniency bias)</w:t>
      </w:r>
    </w:p>
    <w:p w14:paraId="1C27B6D5">
      <w:pPr>
        <w:pStyle w:val="4"/>
        <w:spacing w:before="120" w:after="40"/>
      </w:pPr>
      <w:r>
        <w:t>Overview</w:t>
      </w:r>
    </w:p>
    <w:p w14:paraId="059967D3">
      <w:pPr>
        <w:spacing w:before="0" w:after="60"/>
      </w:pPr>
      <w:r>
        <w:t>Gemma3:12b is a 12 billion parameter model — the largest local model tested. It took approximately 6 hours to complete on local CPU hardware. Despite the longer runtime, this run produced the most interesting behavioural results, particularly at the low end of the scoring scale.</w:t>
      </w:r>
    </w:p>
    <w:p w14:paraId="7FFECA03">
      <w:pPr>
        <w:spacing w:before="0" w:after="60"/>
        <w:rPr>
          <w:rFonts w:hint="default"/>
          <w:lang w:val="en-IN"/>
        </w:rPr>
      </w:pPr>
      <w:r>
        <w:rPr>
          <w:rFonts w:hint="default"/>
          <w:lang w:val="en-IN"/>
        </w:rPr>
        <w:drawing>
          <wp:inline distT="0" distB="0" distL="114300" distR="114300">
            <wp:extent cx="3271520" cy="2637155"/>
            <wp:effectExtent l="0" t="0" r="5080" b="14605"/>
            <wp:docPr id="11" name="Picture 11" descr="MAGIC_5_Agent_Gemma12B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AGIC_5_Agent_Gemma12B_Plot"/>
                    <pic:cNvPicPr>
                      <a:picLocks noChangeAspect="1"/>
                    </pic:cNvPicPr>
                  </pic:nvPicPr>
                  <pic:blipFill>
                    <a:blip r:embed="rId13"/>
                    <a:stretch>
                      <a:fillRect/>
                    </a:stretch>
                  </pic:blipFill>
                  <pic:spPr>
                    <a:xfrm>
                      <a:off x="0" y="0"/>
                      <a:ext cx="3271520" cy="2637155"/>
                    </a:xfrm>
                    <a:prstGeom prst="rect">
                      <a:avLst/>
                    </a:prstGeom>
                  </pic:spPr>
                </pic:pic>
              </a:graphicData>
            </a:graphic>
          </wp:inline>
        </w:drawing>
      </w:r>
      <w:r>
        <w:rPr>
          <w:rFonts w:hint="default"/>
          <w:lang w:val="en-IN"/>
        </w:rPr>
        <w:drawing>
          <wp:inline distT="0" distB="0" distL="114300" distR="114300">
            <wp:extent cx="3118485" cy="2642870"/>
            <wp:effectExtent l="0" t="0" r="5715" b="8890"/>
            <wp:docPr id="12" name="Picture 12" descr="MAGIC_5_Agent_Gemma12B_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AGIC_5_Agent_Gemma12B_Confusion"/>
                    <pic:cNvPicPr>
                      <a:picLocks noChangeAspect="1"/>
                    </pic:cNvPicPr>
                  </pic:nvPicPr>
                  <pic:blipFill>
                    <a:blip r:embed="rId14"/>
                    <a:stretch>
                      <a:fillRect/>
                    </a:stretch>
                  </pic:blipFill>
                  <pic:spPr>
                    <a:xfrm>
                      <a:off x="0" y="0"/>
                      <a:ext cx="3118485" cy="2642870"/>
                    </a:xfrm>
                    <a:prstGeom prst="rect">
                      <a:avLst/>
                    </a:prstGeom>
                  </pic:spPr>
                </pic:pic>
              </a:graphicData>
            </a:graphic>
          </wp:inline>
        </w:drawing>
      </w:r>
    </w:p>
    <w:p w14:paraId="37B95315">
      <w:pPr>
        <w:pStyle w:val="4"/>
        <w:spacing w:before="120" w:after="40"/>
      </w:pPr>
      <w:r>
        <w:t>Scatter Plot Analysis</w:t>
      </w:r>
    </w:p>
    <w:p w14:paraId="4888CD4E">
      <w:pPr>
        <w:spacing w:before="0" w:after="60"/>
      </w:pPr>
      <w:r>
        <w:t>The best scatter plot alignment of the Gemma models, with predictions spread across scores 0–4. Crucially, the plot shows dots at score 0 and score 1 predictions — the only model in the entire study to score essays in this range with any consistency.</w:t>
      </w:r>
    </w:p>
    <w:p w14:paraId="1AAAD3AE">
      <w:pPr>
        <w:pStyle w:val="4"/>
        <w:spacing w:before="120" w:after="40"/>
      </w:pPr>
      <w:r>
        <w:t>Confusion Matrix Analysis</w:t>
      </w:r>
    </w:p>
    <w:p w14:paraId="04B65257">
      <w:pPr>
        <w:spacing w:before="0" w:after="60"/>
      </w:pPr>
      <w:r>
        <w:t>The most balanced confusion matrix of all runs. 22 correct at score 2, 19 correct at score 3, and 4 correct at score 4. Critically, score 0 essays are predicted as 0 and 1 in several cases — the first and only model to partially overcome leniency bias at the low end.</w:t>
      </w:r>
    </w:p>
    <w:p w14:paraId="113CDB53">
      <w:pPr>
        <w:pStyle w:val="4"/>
        <w:spacing w:before="120" w:after="40"/>
      </w:pPr>
      <w:r>
        <w:t>Why This Happened</w:t>
      </w:r>
    </w:p>
    <w:p w14:paraId="15D18A46">
      <w:pPr>
        <w:spacing w:before="0" w:after="60"/>
      </w:pPr>
      <w:r>
        <w:t>Gemma3:12b's ability to assign scores of 0 and 1 suggests that Google's training approach at larger sizes produces a model less prone to reciprocity and leniency bias. This indicates that model architecture and training data choices, not just parameter count, influence scoring bias.</w:t>
      </w:r>
    </w:p>
    <w:p w14:paraId="643AEAF2">
      <w:pPr>
        <w:pStyle w:val="4"/>
        <w:spacing w:before="120" w:after="40"/>
      </w:pPr>
      <w:r>
        <w:t>Assessment</w:t>
      </w:r>
    </w:p>
    <w:p w14:paraId="26E42B5A">
      <w:pPr>
        <w:spacing w:before="0" w:after="60"/>
      </w:pPr>
      <w:r>
        <w:t>Fair agreement, with the unique distinction of being the only model to partially overcome leniency bias. QWK second best after LLaMA 3.1:8b. Worth retesting with strict instruction changes.</w:t>
      </w:r>
    </w:p>
    <w:p w14:paraId="4605369A">
      <w:pPr>
        <w:spacing w:before="0" w:after="0"/>
      </w:pPr>
    </w:p>
    <w:p w14:paraId="3E732A21">
      <w:r>
        <w:br w:type="page"/>
      </w:r>
    </w:p>
    <w:p w14:paraId="12B81EEA">
      <w:pPr>
        <w:pStyle w:val="2"/>
        <w:spacing w:before="200" w:after="80"/>
      </w:pPr>
      <w:r>
        <w:t>4. Dataset Information</w:t>
      </w:r>
    </w:p>
    <w:p w14:paraId="24B859CE">
      <w:pPr>
        <w:pStyle w:val="3"/>
        <w:spacing w:before="160" w:after="60"/>
      </w:pPr>
      <w:r>
        <w:t>ASAP — Automated Student Assessment Prize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ED4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7A7504F6">
            <w:pPr>
              <w:spacing w:before="0" w:after="0"/>
            </w:pPr>
            <w:r>
              <w:rPr>
                <w:rFonts w:ascii="Arial" w:hAnsi="Arial" w:eastAsia="Arial" w:cs="Arial"/>
                <w:b/>
                <w:bCs/>
                <w:color w:val="FFFFFF"/>
                <w:sz w:val="18"/>
                <w:szCs w:val="18"/>
              </w:rPr>
              <w:t>Property</w:t>
            </w:r>
          </w:p>
        </w:tc>
        <w:tc>
          <w:tcPr>
            <w:tcW w:w="676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45A77408">
            <w:pPr>
              <w:spacing w:before="0" w:after="0"/>
            </w:pPr>
            <w:r>
              <w:rPr>
                <w:rFonts w:ascii="Arial" w:hAnsi="Arial" w:eastAsia="Arial" w:cs="Arial"/>
                <w:b/>
                <w:bCs/>
                <w:color w:val="FFFFFF"/>
                <w:sz w:val="18"/>
                <w:szCs w:val="18"/>
              </w:rPr>
              <w:t>Details</w:t>
            </w:r>
          </w:p>
        </w:tc>
      </w:tr>
      <w:tr w14:paraId="5EFD5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456F5E99">
            <w:pPr>
              <w:spacing w:before="0" w:after="0"/>
            </w:pPr>
            <w:r>
              <w:rPr>
                <w:rFonts w:ascii="Arial" w:hAnsi="Arial" w:eastAsia="Arial" w:cs="Arial"/>
                <w:sz w:val="18"/>
                <w:szCs w:val="18"/>
              </w:rPr>
              <w:t>Source</w:t>
            </w:r>
          </w:p>
        </w:tc>
        <w:tc>
          <w:tcPr>
            <w:tcW w:w="676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31BA747F">
            <w:pPr>
              <w:spacing w:before="0" w:after="0"/>
            </w:pPr>
            <w:r>
              <w:rPr>
                <w:rFonts w:ascii="Arial" w:hAnsi="Arial" w:eastAsia="Arial" w:cs="Arial"/>
                <w:sz w:val="18"/>
                <w:szCs w:val="18"/>
              </w:rPr>
              <w:t>Originally released by Kaggle in partnership with the Hewlett Foundation</w:t>
            </w:r>
          </w:p>
        </w:tc>
      </w:tr>
      <w:tr w14:paraId="3BF1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9FBEEC9">
            <w:pPr>
              <w:spacing w:before="0" w:after="0"/>
            </w:pPr>
            <w:r>
              <w:rPr>
                <w:rFonts w:ascii="Arial" w:hAnsi="Arial" w:eastAsia="Arial" w:cs="Arial"/>
                <w:sz w:val="18"/>
                <w:szCs w:val="18"/>
              </w:rPr>
              <w:t>Content</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00F91E0">
            <w:pPr>
              <w:spacing w:before="0" w:after="0"/>
            </w:pPr>
            <w:r>
              <w:rPr>
                <w:rFonts w:ascii="Arial" w:hAnsi="Arial" w:eastAsia="Arial" w:cs="Arial"/>
                <w:sz w:val="18"/>
                <w:szCs w:val="18"/>
              </w:rPr>
              <w:t>Real student persuasive essays by middle and high school students (grades 7–10)</w:t>
            </w:r>
          </w:p>
        </w:tc>
      </w:tr>
      <w:tr w14:paraId="1B23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44ED4FB2">
            <w:pPr>
              <w:spacing w:before="0" w:after="0"/>
            </w:pPr>
            <w:r>
              <w:rPr>
                <w:rFonts w:ascii="Arial" w:hAnsi="Arial" w:eastAsia="Arial" w:cs="Arial"/>
                <w:sz w:val="18"/>
                <w:szCs w:val="18"/>
              </w:rPr>
              <w:t>Topics</w:t>
            </w:r>
          </w:p>
        </w:tc>
        <w:tc>
          <w:tcPr>
            <w:tcW w:w="676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694A0A47">
            <w:pPr>
              <w:spacing w:before="0" w:after="0"/>
            </w:pPr>
            <w:r>
              <w:rPr>
                <w:rFonts w:ascii="Arial" w:hAnsi="Arial" w:eastAsia="Arial" w:cs="Arial"/>
                <w:sz w:val="18"/>
                <w:szCs w:val="18"/>
              </w:rPr>
              <w:t>Persuasive writing prompts on technology, community, and social issues</w:t>
            </w:r>
          </w:p>
        </w:tc>
      </w:tr>
      <w:tr w14:paraId="4B257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B33C3F9">
            <w:pPr>
              <w:spacing w:before="0" w:after="0"/>
            </w:pPr>
            <w:r>
              <w:rPr>
                <w:rFonts w:ascii="Arial" w:hAnsi="Arial" w:eastAsia="Arial" w:cs="Arial"/>
                <w:sz w:val="18"/>
                <w:szCs w:val="18"/>
              </w:rPr>
              <w:t>Original Scale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A61825B">
            <w:pPr>
              <w:spacing w:before="0" w:after="0"/>
            </w:pPr>
            <w:r>
              <w:rPr>
                <w:rFonts w:ascii="Arial" w:hAnsi="Arial" w:eastAsia="Arial" w:cs="Arial"/>
                <w:sz w:val="18"/>
                <w:szCs w:val="18"/>
              </w:rPr>
              <w:t>1–5, normalised to 0–6 to match MAGIC pipeline native scoring range</w:t>
            </w:r>
          </w:p>
        </w:tc>
      </w:tr>
      <w:tr w14:paraId="0BC8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142B5FA8">
            <w:pPr>
              <w:spacing w:before="0" w:after="0"/>
            </w:pPr>
            <w:r>
              <w:rPr>
                <w:rFonts w:ascii="Arial" w:hAnsi="Arial" w:eastAsia="Arial" w:cs="Arial"/>
                <w:sz w:val="18"/>
                <w:szCs w:val="18"/>
              </w:rPr>
              <w:t>Essays Used</w:t>
            </w:r>
          </w:p>
        </w:tc>
        <w:tc>
          <w:tcPr>
            <w:tcW w:w="676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072C5762">
            <w:pPr>
              <w:spacing w:before="0" w:after="0"/>
            </w:pPr>
            <w:r>
              <w:rPr>
                <w:rFonts w:ascii="Arial" w:hAnsi="Arial" w:eastAsia="Arial" w:cs="Arial"/>
                <w:sz w:val="18"/>
                <w:szCs w:val="18"/>
              </w:rPr>
              <w:t>100 (representative subset of full ASAP dataset)</w:t>
            </w:r>
          </w:p>
        </w:tc>
      </w:tr>
      <w:tr w14:paraId="690E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4370C16">
            <w:pPr>
              <w:spacing w:before="0" w:after="0"/>
            </w:pPr>
            <w:r>
              <w:rPr>
                <w:rFonts w:ascii="Arial" w:hAnsi="Arial" w:eastAsia="Arial" w:cs="Arial"/>
                <w:sz w:val="18"/>
                <w:szCs w:val="18"/>
              </w:rPr>
              <w:t>Score Distribution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A79FE24">
            <w:pPr>
              <w:spacing w:before="0" w:after="0"/>
            </w:pPr>
            <w:r>
              <w:rPr>
                <w:rFonts w:ascii="Arial" w:hAnsi="Arial" w:eastAsia="Arial" w:cs="Arial"/>
                <w:sz w:val="18"/>
                <w:szCs w:val="18"/>
              </w:rPr>
              <w:t>Skewed toward lower-middle range (scores 2–3), typical for student populations</w:t>
            </w:r>
          </w:p>
        </w:tc>
      </w:tr>
    </w:tbl>
    <w:p w14:paraId="037D045F">
      <w:pPr>
        <w:spacing w:before="0" w:after="0"/>
      </w:pPr>
    </w:p>
    <w:p w14:paraId="0F5D49E7">
      <w:pPr>
        <w:spacing w:before="0" w:after="60"/>
      </w:pPr>
      <w:r>
        <w:t>Important context: The MAGIC pipeline was originally designed and prompted for GRE analytical writing — graduate-level argumentative essays. ASAP essays are shorter, simpler student writing with different quality indicators. This domain mismatch was a central hypothesis tested through the rubric variation experiment.</w:t>
      </w:r>
    </w:p>
    <w:p w14:paraId="18735C5F">
      <w:r>
        <w:br w:type="page"/>
      </w:r>
    </w:p>
    <w:p w14:paraId="74F62B7D">
      <w:pPr>
        <w:pStyle w:val="2"/>
        <w:spacing w:before="200" w:after="80"/>
      </w:pPr>
      <w:r>
        <w:t>5. Final Verdict &amp; Rankings</w:t>
      </w:r>
    </w:p>
    <w:p w14:paraId="030EC4F0">
      <w:pPr>
        <w:pStyle w:val="3"/>
        <w:spacing w:before="160" w:after="60"/>
      </w:pPr>
      <w:r>
        <w:t>Overall Rankings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1"/>
        <w:gridCol w:w="3604"/>
        <w:gridCol w:w="774"/>
        <w:gridCol w:w="774"/>
        <w:gridCol w:w="769"/>
        <w:gridCol w:w="1798"/>
      </w:tblGrid>
      <w:tr w14:paraId="19E65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2CA2588B">
            <w:pPr>
              <w:spacing w:before="0" w:after="0"/>
            </w:pPr>
            <w:r>
              <w:rPr>
                <w:rFonts w:ascii="Arial" w:hAnsi="Arial" w:eastAsia="Arial" w:cs="Arial"/>
                <w:b/>
                <w:bCs/>
                <w:color w:val="FFFFFF"/>
                <w:sz w:val="18"/>
                <w:szCs w:val="18"/>
              </w:rPr>
              <w:t>Rank</w:t>
            </w:r>
          </w:p>
        </w:tc>
        <w:tc>
          <w:tcPr>
            <w:tcW w:w="372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00C5786A">
            <w:pPr>
              <w:spacing w:before="0" w:after="0"/>
            </w:pPr>
            <w:r>
              <w:rPr>
                <w:rFonts w:ascii="Arial" w:hAnsi="Arial" w:eastAsia="Arial" w:cs="Arial"/>
                <w:b/>
                <w:bCs/>
                <w:color w:val="FFFFFF"/>
                <w:sz w:val="18"/>
                <w:szCs w:val="18"/>
              </w:rPr>
              <w:t>Configuration</w:t>
            </w:r>
          </w:p>
        </w:tc>
        <w:tc>
          <w:tcPr>
            <w:tcW w:w="78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6C1E304A">
            <w:pPr>
              <w:spacing w:before="0" w:after="0"/>
            </w:pPr>
            <w:r>
              <w:rPr>
                <w:rFonts w:ascii="Arial" w:hAnsi="Arial" w:eastAsia="Arial" w:cs="Arial"/>
                <w:b/>
                <w:bCs/>
                <w:color w:val="FFFFFF"/>
                <w:sz w:val="18"/>
                <w:szCs w:val="18"/>
              </w:rPr>
              <w:t>QWK</w:t>
            </w:r>
          </w:p>
        </w:tc>
        <w:tc>
          <w:tcPr>
            <w:tcW w:w="78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27148D06">
            <w:pPr>
              <w:spacing w:before="0" w:after="0"/>
            </w:pPr>
            <w:r>
              <w:rPr>
                <w:rFonts w:ascii="Arial" w:hAnsi="Arial" w:eastAsia="Arial" w:cs="Arial"/>
                <w:b/>
                <w:bCs/>
                <w:color w:val="FFFFFF"/>
                <w:sz w:val="18"/>
                <w:szCs w:val="18"/>
              </w:rPr>
              <w:t>MAE</w:t>
            </w:r>
          </w:p>
        </w:tc>
        <w:tc>
          <w:tcPr>
            <w:tcW w:w="78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4A3490A2">
            <w:pPr>
              <w:spacing w:before="0" w:after="0"/>
            </w:pPr>
            <w:r>
              <w:rPr>
                <w:rFonts w:ascii="Arial" w:hAnsi="Arial" w:eastAsia="Arial" w:cs="Arial"/>
                <w:b/>
                <w:bCs/>
                <w:color w:val="FFFFFF"/>
                <w:sz w:val="18"/>
                <w:szCs w:val="18"/>
              </w:rPr>
              <w:t>±1%</w:t>
            </w:r>
          </w:p>
        </w:tc>
        <w:tc>
          <w:tcPr>
            <w:tcW w:w="182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66367EE9">
            <w:pPr>
              <w:spacing w:before="0" w:after="0"/>
            </w:pPr>
            <w:r>
              <w:rPr>
                <w:rFonts w:ascii="Arial" w:hAnsi="Arial" w:eastAsia="Arial" w:cs="Arial"/>
                <w:b/>
                <w:bCs/>
                <w:color w:val="FFFFFF"/>
                <w:sz w:val="18"/>
                <w:szCs w:val="18"/>
              </w:rPr>
              <w:t>Grade</w:t>
            </w:r>
          </w:p>
        </w:tc>
      </w:tr>
      <w:tr w14:paraId="2824F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1C3876EF">
            <w:pPr>
              <w:spacing w:before="0" w:after="0"/>
            </w:pPr>
            <w:r>
              <w:rPr>
                <w:rFonts w:ascii="Arial" w:hAnsi="Arial" w:eastAsia="Arial" w:cs="Arial"/>
                <w:sz w:val="18"/>
                <w:szCs w:val="18"/>
              </w:rPr>
              <w:t>1</w:t>
            </w:r>
          </w:p>
        </w:tc>
        <w:tc>
          <w:tcPr>
            <w:tcW w:w="372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7EBE18BD">
            <w:pPr>
              <w:spacing w:before="0" w:after="0"/>
            </w:pPr>
            <w:r>
              <w:rPr>
                <w:rFonts w:ascii="Arial" w:hAnsi="Arial" w:eastAsia="Arial" w:cs="Arial"/>
                <w:sz w:val="18"/>
                <w:szCs w:val="18"/>
              </w:rPr>
              <w:t>LLaMA 3.1:8b + GRE 5-agent</w:t>
            </w:r>
          </w:p>
        </w:tc>
        <w:tc>
          <w:tcPr>
            <w:tcW w:w="7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7230BD37">
            <w:pPr>
              <w:spacing w:before="0" w:after="0"/>
            </w:pPr>
            <w:r>
              <w:rPr>
                <w:rFonts w:ascii="Arial" w:hAnsi="Arial" w:eastAsia="Arial" w:cs="Arial"/>
                <w:sz w:val="18"/>
                <w:szCs w:val="18"/>
              </w:rPr>
              <w:t>0.396</w:t>
            </w:r>
          </w:p>
        </w:tc>
        <w:tc>
          <w:tcPr>
            <w:tcW w:w="7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5ACF1365">
            <w:pPr>
              <w:spacing w:before="0" w:after="0"/>
            </w:pPr>
            <w:r>
              <w:rPr>
                <w:rFonts w:ascii="Arial" w:hAnsi="Arial" w:eastAsia="Arial" w:cs="Arial"/>
                <w:sz w:val="18"/>
                <w:szCs w:val="18"/>
              </w:rPr>
              <w:t>0.820</w:t>
            </w:r>
          </w:p>
        </w:tc>
        <w:tc>
          <w:tcPr>
            <w:tcW w:w="7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68A64DF0">
            <w:pPr>
              <w:spacing w:before="0" w:after="0"/>
            </w:pPr>
            <w:r>
              <w:rPr>
                <w:rFonts w:ascii="Arial" w:hAnsi="Arial" w:eastAsia="Arial" w:cs="Arial"/>
                <w:sz w:val="18"/>
                <w:szCs w:val="18"/>
              </w:rPr>
              <w:t>77%</w:t>
            </w:r>
          </w:p>
        </w:tc>
        <w:tc>
          <w:tcPr>
            <w:tcW w:w="182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31A34D64">
            <w:pPr>
              <w:spacing w:before="0" w:after="0"/>
            </w:pPr>
            <w:r>
              <w:rPr>
                <w:rFonts w:ascii="Arial" w:hAnsi="Arial" w:eastAsia="Arial" w:cs="Arial"/>
                <w:sz w:val="18"/>
                <w:szCs w:val="18"/>
              </w:rPr>
              <w:t>Fair–Moderate</w:t>
            </w:r>
          </w:p>
        </w:tc>
      </w:tr>
      <w:tr w14:paraId="206C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844EBF7">
            <w:pPr>
              <w:spacing w:before="0" w:after="0"/>
            </w:pPr>
            <w:r>
              <w:rPr>
                <w:rFonts w:ascii="Arial" w:hAnsi="Arial" w:eastAsia="Arial" w:cs="Arial"/>
                <w:sz w:val="18"/>
                <w:szCs w:val="18"/>
              </w:rPr>
              <w:t>2</w:t>
            </w:r>
          </w:p>
        </w:tc>
        <w:tc>
          <w:tcPr>
            <w:tcW w:w="37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C484904">
            <w:pPr>
              <w:spacing w:before="0" w:after="0"/>
            </w:pPr>
            <w:r>
              <w:rPr>
                <w:rFonts w:ascii="Arial" w:hAnsi="Arial" w:eastAsia="Arial" w:cs="Arial"/>
                <w:sz w:val="18"/>
                <w:szCs w:val="18"/>
              </w:rPr>
              <w:t>Gemma3:12b + GRE 5-agent</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639DA58">
            <w:pPr>
              <w:spacing w:before="0" w:after="0"/>
            </w:pPr>
            <w:r>
              <w:rPr>
                <w:rFonts w:ascii="Arial" w:hAnsi="Arial" w:eastAsia="Arial" w:cs="Arial"/>
                <w:sz w:val="18"/>
                <w:szCs w:val="18"/>
              </w:rPr>
              <w:t>0.346</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55963D3">
            <w:pPr>
              <w:spacing w:before="0" w:after="0"/>
            </w:pPr>
            <w:r>
              <w:rPr>
                <w:rFonts w:ascii="Arial" w:hAnsi="Arial" w:eastAsia="Arial" w:cs="Arial"/>
                <w:sz w:val="18"/>
                <w:szCs w:val="18"/>
              </w:rPr>
              <w:t>0.980</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4C8471E">
            <w:pPr>
              <w:spacing w:before="0" w:after="0"/>
            </w:pPr>
            <w:r>
              <w:rPr>
                <w:rFonts w:ascii="Arial" w:hAnsi="Arial" w:eastAsia="Arial" w:cs="Arial"/>
                <w:sz w:val="18"/>
                <w:szCs w:val="18"/>
              </w:rPr>
              <w:t>80%</w:t>
            </w:r>
          </w:p>
        </w:tc>
        <w:tc>
          <w:tcPr>
            <w:tcW w:w="18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6F1D19C">
            <w:pPr>
              <w:spacing w:before="0" w:after="0"/>
            </w:pPr>
            <w:r>
              <w:rPr>
                <w:rFonts w:ascii="Arial" w:hAnsi="Arial" w:eastAsia="Arial" w:cs="Arial"/>
                <w:sz w:val="18"/>
                <w:szCs w:val="18"/>
              </w:rPr>
              <w:t>Fair</w:t>
            </w:r>
          </w:p>
        </w:tc>
      </w:tr>
      <w:tr w14:paraId="1B4EF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0ECD8610">
            <w:pPr>
              <w:spacing w:before="0" w:after="0"/>
            </w:pPr>
            <w:r>
              <w:rPr>
                <w:rFonts w:ascii="Arial" w:hAnsi="Arial" w:eastAsia="Arial" w:cs="Arial"/>
                <w:sz w:val="18"/>
                <w:szCs w:val="18"/>
              </w:rPr>
              <w:t>3</w:t>
            </w:r>
          </w:p>
        </w:tc>
        <w:tc>
          <w:tcPr>
            <w:tcW w:w="372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11227886">
            <w:pPr>
              <w:spacing w:before="0" w:after="0"/>
            </w:pPr>
            <w:r>
              <w:rPr>
                <w:rFonts w:ascii="Arial" w:hAnsi="Arial" w:eastAsia="Arial" w:cs="Arial"/>
                <w:sz w:val="18"/>
                <w:szCs w:val="18"/>
              </w:rPr>
              <w:t>LLaMA 3.1:8b + ASAP 3-agent</w:t>
            </w:r>
          </w:p>
        </w:tc>
        <w:tc>
          <w:tcPr>
            <w:tcW w:w="7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074394C8">
            <w:pPr>
              <w:spacing w:before="0" w:after="0"/>
            </w:pPr>
            <w:r>
              <w:rPr>
                <w:rFonts w:ascii="Arial" w:hAnsi="Arial" w:eastAsia="Arial" w:cs="Arial"/>
                <w:sz w:val="18"/>
                <w:szCs w:val="18"/>
              </w:rPr>
              <w:t>0.220</w:t>
            </w:r>
          </w:p>
        </w:tc>
        <w:tc>
          <w:tcPr>
            <w:tcW w:w="7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04B0CE4A">
            <w:pPr>
              <w:spacing w:before="0" w:after="0"/>
            </w:pPr>
            <w:r>
              <w:rPr>
                <w:rFonts w:ascii="Arial" w:hAnsi="Arial" w:eastAsia="Arial" w:cs="Arial"/>
                <w:sz w:val="18"/>
                <w:szCs w:val="18"/>
              </w:rPr>
              <w:t>1.110</w:t>
            </w:r>
          </w:p>
        </w:tc>
        <w:tc>
          <w:tcPr>
            <w:tcW w:w="7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4BF6B1E7">
            <w:pPr>
              <w:spacing w:before="0" w:after="0"/>
            </w:pPr>
            <w:r>
              <w:rPr>
                <w:rFonts w:ascii="Arial" w:hAnsi="Arial" w:eastAsia="Arial" w:cs="Arial"/>
                <w:sz w:val="18"/>
                <w:szCs w:val="18"/>
              </w:rPr>
              <w:t>69%</w:t>
            </w:r>
          </w:p>
        </w:tc>
        <w:tc>
          <w:tcPr>
            <w:tcW w:w="182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38BE0E77">
            <w:pPr>
              <w:spacing w:before="0" w:after="0"/>
            </w:pPr>
            <w:r>
              <w:rPr>
                <w:rFonts w:ascii="Arial" w:hAnsi="Arial" w:eastAsia="Arial" w:cs="Arial"/>
                <w:sz w:val="18"/>
                <w:szCs w:val="18"/>
              </w:rPr>
              <w:t>Fair</w:t>
            </w:r>
          </w:p>
        </w:tc>
      </w:tr>
      <w:tr w14:paraId="4C11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CFC2930">
            <w:pPr>
              <w:spacing w:before="0" w:after="0"/>
            </w:pPr>
            <w:r>
              <w:rPr>
                <w:rFonts w:ascii="Arial" w:hAnsi="Arial" w:eastAsia="Arial" w:cs="Arial"/>
                <w:sz w:val="18"/>
                <w:szCs w:val="18"/>
              </w:rPr>
              <w:t>4</w:t>
            </w:r>
          </w:p>
        </w:tc>
        <w:tc>
          <w:tcPr>
            <w:tcW w:w="37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5CB26B6">
            <w:pPr>
              <w:spacing w:before="0" w:after="0"/>
            </w:pPr>
            <w:r>
              <w:rPr>
                <w:rFonts w:ascii="Arial" w:hAnsi="Arial" w:eastAsia="Arial" w:cs="Arial"/>
                <w:sz w:val="18"/>
                <w:szCs w:val="18"/>
              </w:rPr>
              <w:t>Gemma3:4b + GRE 5-agent</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922DF7D">
            <w:pPr>
              <w:spacing w:before="0" w:after="0"/>
            </w:pPr>
            <w:r>
              <w:rPr>
                <w:rFonts w:ascii="Arial" w:hAnsi="Arial" w:eastAsia="Arial" w:cs="Arial"/>
                <w:sz w:val="18"/>
                <w:szCs w:val="18"/>
              </w:rPr>
              <w:t>0.188</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47B28B7">
            <w:pPr>
              <w:spacing w:before="0" w:after="0"/>
            </w:pPr>
            <w:r>
              <w:rPr>
                <w:rFonts w:ascii="Arial" w:hAnsi="Arial" w:eastAsia="Arial" w:cs="Arial"/>
                <w:sz w:val="18"/>
                <w:szCs w:val="18"/>
              </w:rPr>
              <w:t>1.070</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E7DE861">
            <w:pPr>
              <w:spacing w:before="0" w:after="0"/>
            </w:pPr>
            <w:r>
              <w:rPr>
                <w:rFonts w:ascii="Arial" w:hAnsi="Arial" w:eastAsia="Arial" w:cs="Arial"/>
                <w:sz w:val="18"/>
                <w:szCs w:val="18"/>
              </w:rPr>
              <w:t>79%</w:t>
            </w:r>
          </w:p>
        </w:tc>
        <w:tc>
          <w:tcPr>
            <w:tcW w:w="18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FCFD88B">
            <w:pPr>
              <w:spacing w:before="0" w:after="0"/>
            </w:pPr>
            <w:r>
              <w:rPr>
                <w:rFonts w:ascii="Arial" w:hAnsi="Arial" w:eastAsia="Arial" w:cs="Arial"/>
                <w:sz w:val="18"/>
                <w:szCs w:val="18"/>
              </w:rPr>
              <w:t>Poor–Fair</w:t>
            </w:r>
          </w:p>
        </w:tc>
      </w:tr>
      <w:tr w14:paraId="2D3C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75C43B07">
            <w:pPr>
              <w:spacing w:before="0" w:after="0"/>
            </w:pPr>
            <w:r>
              <w:rPr>
                <w:rFonts w:ascii="Arial" w:hAnsi="Arial" w:eastAsia="Arial" w:cs="Arial"/>
                <w:sz w:val="18"/>
                <w:szCs w:val="18"/>
              </w:rPr>
              <w:t>5</w:t>
            </w:r>
          </w:p>
        </w:tc>
        <w:tc>
          <w:tcPr>
            <w:tcW w:w="372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464E6148">
            <w:pPr>
              <w:spacing w:before="0" w:after="0"/>
            </w:pPr>
            <w:r>
              <w:rPr>
                <w:rFonts w:ascii="Arial" w:hAnsi="Arial" w:eastAsia="Arial" w:cs="Arial"/>
                <w:sz w:val="18"/>
                <w:szCs w:val="18"/>
              </w:rPr>
              <w:t>Mistral:7b + ASAP 3-agent</w:t>
            </w:r>
          </w:p>
        </w:tc>
        <w:tc>
          <w:tcPr>
            <w:tcW w:w="7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17F10EF1">
            <w:pPr>
              <w:spacing w:before="0" w:after="0"/>
            </w:pPr>
            <w:r>
              <w:rPr>
                <w:rFonts w:ascii="Arial" w:hAnsi="Arial" w:eastAsia="Arial" w:cs="Arial"/>
                <w:sz w:val="18"/>
                <w:szCs w:val="18"/>
              </w:rPr>
              <w:t>0.157</w:t>
            </w:r>
          </w:p>
        </w:tc>
        <w:tc>
          <w:tcPr>
            <w:tcW w:w="7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111773AF">
            <w:pPr>
              <w:spacing w:before="0" w:after="0"/>
            </w:pPr>
            <w:r>
              <w:rPr>
                <w:rFonts w:ascii="Arial" w:hAnsi="Arial" w:eastAsia="Arial" w:cs="Arial"/>
                <w:sz w:val="18"/>
                <w:szCs w:val="18"/>
              </w:rPr>
              <w:t>2.020</w:t>
            </w:r>
          </w:p>
        </w:tc>
        <w:tc>
          <w:tcPr>
            <w:tcW w:w="78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71BBF6A6">
            <w:pPr>
              <w:spacing w:before="0" w:after="0"/>
            </w:pPr>
            <w:r>
              <w:rPr>
                <w:rFonts w:ascii="Arial" w:hAnsi="Arial" w:eastAsia="Arial" w:cs="Arial"/>
                <w:sz w:val="18"/>
                <w:szCs w:val="18"/>
              </w:rPr>
              <w:t>29%</w:t>
            </w:r>
          </w:p>
        </w:tc>
        <w:tc>
          <w:tcPr>
            <w:tcW w:w="182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031EFE3F">
            <w:pPr>
              <w:spacing w:before="0" w:after="0"/>
            </w:pPr>
            <w:r>
              <w:rPr>
                <w:rFonts w:ascii="Arial" w:hAnsi="Arial" w:eastAsia="Arial" w:cs="Arial"/>
                <w:sz w:val="18"/>
                <w:szCs w:val="18"/>
              </w:rPr>
              <w:t>Poor</w:t>
            </w:r>
          </w:p>
        </w:tc>
      </w:tr>
      <w:tr w14:paraId="6057D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275E1BB">
            <w:pPr>
              <w:spacing w:before="0" w:after="0"/>
            </w:pPr>
            <w:r>
              <w:rPr>
                <w:rFonts w:ascii="Arial" w:hAnsi="Arial" w:eastAsia="Arial" w:cs="Arial"/>
                <w:sz w:val="18"/>
                <w:szCs w:val="18"/>
              </w:rPr>
              <w:t>6</w:t>
            </w:r>
          </w:p>
        </w:tc>
        <w:tc>
          <w:tcPr>
            <w:tcW w:w="37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7F12AD1">
            <w:pPr>
              <w:spacing w:before="0" w:after="0"/>
            </w:pPr>
            <w:r>
              <w:rPr>
                <w:rFonts w:ascii="Arial" w:hAnsi="Arial" w:eastAsia="Arial" w:cs="Arial"/>
                <w:sz w:val="18"/>
                <w:szCs w:val="18"/>
              </w:rPr>
              <w:t>Mistral:7b + GRE 5-agent</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E834681">
            <w:pPr>
              <w:spacing w:before="0" w:after="0"/>
            </w:pPr>
            <w:r>
              <w:rPr>
                <w:rFonts w:ascii="Arial" w:hAnsi="Arial" w:eastAsia="Arial" w:cs="Arial"/>
                <w:sz w:val="18"/>
                <w:szCs w:val="18"/>
              </w:rPr>
              <w:t>0.108</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2B394DC">
            <w:pPr>
              <w:spacing w:before="0" w:after="0"/>
            </w:pPr>
            <w:r>
              <w:rPr>
                <w:rFonts w:ascii="Arial" w:hAnsi="Arial" w:eastAsia="Arial" w:cs="Arial"/>
                <w:sz w:val="18"/>
                <w:szCs w:val="18"/>
              </w:rPr>
              <w:t>2.030</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F68AD00">
            <w:pPr>
              <w:spacing w:before="0" w:after="0"/>
            </w:pPr>
            <w:r>
              <w:rPr>
                <w:rFonts w:ascii="Arial" w:hAnsi="Arial" w:eastAsia="Arial" w:cs="Arial"/>
                <w:sz w:val="18"/>
                <w:szCs w:val="18"/>
              </w:rPr>
              <w:t>30%</w:t>
            </w:r>
          </w:p>
        </w:tc>
        <w:tc>
          <w:tcPr>
            <w:tcW w:w="18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7C026A5">
            <w:pPr>
              <w:spacing w:before="0" w:after="0"/>
            </w:pPr>
            <w:r>
              <w:rPr>
                <w:rFonts w:ascii="Arial" w:hAnsi="Arial" w:eastAsia="Arial" w:cs="Arial"/>
                <w:sz w:val="18"/>
                <w:szCs w:val="18"/>
              </w:rPr>
              <w:t>Poor</w:t>
            </w:r>
          </w:p>
        </w:tc>
      </w:tr>
    </w:tbl>
    <w:p w14:paraId="49338C33">
      <w:pPr>
        <w:spacing w:before="0" w:after="0"/>
      </w:pPr>
    </w:p>
    <w:p w14:paraId="399CBCA4">
      <w:pPr>
        <w:pStyle w:val="3"/>
        <w:spacing w:before="160" w:after="60"/>
      </w:pPr>
      <w:r>
        <w:t>Key Conclusions</w:t>
      </w:r>
    </w:p>
    <w:p w14:paraId="2DA973FE">
      <w:pPr>
        <w:spacing w:before="0" w:after="60"/>
      </w:pPr>
      <w:r>
        <w:rPr>
          <w:rFonts w:ascii="Arial" w:hAnsi="Arial" w:eastAsia="Arial" w:cs="Arial"/>
          <w:b/>
          <w:bCs/>
        </w:rPr>
        <w:t>1. Model choice matters more than rubric design</w:t>
      </w:r>
    </w:p>
    <w:p w14:paraId="2167289A">
      <w:pPr>
        <w:spacing w:before="0" w:after="60"/>
      </w:pPr>
      <w:r>
        <w:t>The gap between LLaMA (0.396) and Mistral (0.108–0.157) on the same rubric is far larger than the gap caused by changing the rubric. Model selection is the primary lever for performance improvement.</w:t>
      </w:r>
    </w:p>
    <w:p w14:paraId="2503A44C">
      <w:pPr>
        <w:spacing w:before="0" w:after="60"/>
      </w:pPr>
      <w:r>
        <w:rPr>
          <w:rFonts w:ascii="Arial" w:hAnsi="Arial" w:eastAsia="Arial" w:cs="Arial"/>
          <w:b/>
          <w:bCs/>
        </w:rPr>
        <w:t>2. The rubric reduction strategy did not help</w:t>
      </w:r>
    </w:p>
    <w:p w14:paraId="2A42D82C">
      <w:pPr>
        <w:spacing w:before="0" w:after="60"/>
      </w:pPr>
      <w:r>
        <w:t>Reducing from 5 GRE agents to 3 ASAP agents actually hurt LLaMA's performance (0.396 → 0.220). The GRE rubric provides more structured criteria that helps the model anchor its scores. Simpler rubrics introduce more ambiguity.</w:t>
      </w:r>
    </w:p>
    <w:p w14:paraId="4C37ADA1">
      <w:pPr>
        <w:spacing w:before="0" w:after="60"/>
      </w:pPr>
      <w:r>
        <w:rPr>
          <w:rFonts w:ascii="Arial" w:hAnsi="Arial" w:eastAsia="Arial" w:cs="Arial"/>
          <w:b/>
          <w:bCs/>
        </w:rPr>
        <w:t>3. Mistral has an inherent high-score bias</w:t>
      </w:r>
    </w:p>
    <w:p w14:paraId="1E5F72D3">
      <w:pPr>
        <w:spacing w:before="0" w:after="60"/>
      </w:pPr>
      <w:r>
        <w:t>Across both rubrics, Mistral consistently over-scores by 2+ grades. This is a model behaviour characteristic — it cannot be fixed by rubric design changes alone.</w:t>
      </w:r>
    </w:p>
    <w:p w14:paraId="1AA3966A">
      <w:pPr>
        <w:spacing w:before="0" w:after="60"/>
      </w:pPr>
      <w:r>
        <w:rPr>
          <w:rFonts w:ascii="Arial" w:hAnsi="Arial" w:eastAsia="Arial" w:cs="Arial"/>
          <w:b/>
          <w:bCs/>
        </w:rPr>
        <w:t>4. LLaMA has a consistent under-scoring bias</w:t>
      </w:r>
    </w:p>
    <w:p w14:paraId="266C5FDC">
      <w:pPr>
        <w:spacing w:before="0" w:after="60"/>
      </w:pPr>
      <w:r>
        <w:t>LLaMA consistently predicts 1 grade lower than human scores. Unlike Mistral's erratic over-scoring, this is a predictable and systematic bias. A simple post-processing calibration step (adding +1 to all predictions) could potentially improve QWK further without any model changes.</w:t>
      </w:r>
    </w:p>
    <w:p w14:paraId="7AF28921">
      <w:pPr>
        <w:spacing w:before="0" w:after="60"/>
      </w:pPr>
      <w:r>
        <w:rPr>
          <w:rFonts w:ascii="Arial" w:hAnsi="Arial" w:eastAsia="Arial" w:cs="Arial"/>
          <w:b/>
          <w:bCs/>
        </w:rPr>
        <w:t>5. Best result is still 'Fair' — not production-ready on local models</w:t>
      </w:r>
    </w:p>
    <w:p w14:paraId="75D90F73">
      <w:pPr>
        <w:spacing w:before="0" w:after="60"/>
      </w:pPr>
      <w:r>
        <w:t>QWK of 0.396 is below the 0.60 threshold considered acceptable for real deployment. This is expected given the use of 7–8B parameter local models without GPU acceleration. Research-grade AES systems typically use 70B+ parameter models or cloud-based frontier models. With a stronger backend such as Gemini or GPT-4, the same MAGIC pipeline architecture would likely achieve Substantial agreement (QWK 0.60+).</w:t>
      </w:r>
    </w:p>
    <w:p w14:paraId="4F22AC7C">
      <w:pPr>
        <w:spacing w:before="0" w:after="0"/>
      </w:pPr>
    </w:p>
    <w:p w14:paraId="5C1F2A0F">
      <w:pPr>
        <w:pStyle w:val="3"/>
        <w:spacing w:before="160" w:after="60"/>
      </w:pPr>
      <w:r>
        <w:t>What This Study Demonstrates</w:t>
      </w:r>
    </w:p>
    <w:p w14:paraId="59B898FC">
      <w:pPr>
        <w:spacing w:before="0" w:after="60"/>
      </w:pPr>
      <w:r>
        <w:t>This evaluation demonstrates that the MAGIC multi-agent pipeline architecture is a sound and promising approach to automated essay scoring. The pipeline produces structured, explainable scores across multiple rubric dimensions and runs entirely on local hardware without any API costs or internet dependency. The limiting factor is not the architecture but the underlying model size. The results provide a clear direction for improvement: use a stronger LLM backend, retain the 5-agent architecture, and apply score calibration post-processing.</w:t>
      </w:r>
    </w:p>
    <w:p w14:paraId="586C0992">
      <w:r>
        <w:br w:type="page"/>
      </w:r>
    </w:p>
    <w:p w14:paraId="3B10C50A">
      <w:pPr>
        <w:pStyle w:val="2"/>
        <w:spacing w:before="200" w:after="80"/>
      </w:pPr>
      <w:r>
        <w:t>6. LLM Scoring Bias — Why Models Cannot Be Fully Trusted as Judges</w:t>
      </w:r>
    </w:p>
    <w:p w14:paraId="58882195">
      <w:pPr>
        <w:spacing w:before="0" w:after="60"/>
      </w:pPr>
      <w:r>
        <w:rPr>
          <w:rFonts w:ascii="Arial" w:hAnsi="Arial" w:eastAsia="Arial" w:cs="Arial"/>
          <w:i/>
          <w:iCs/>
          <w:sz w:val="18"/>
          <w:szCs w:val="18"/>
        </w:rPr>
        <w:t>Reference: "Can You Trick the Grader? Adversarial Persuasion of LLM Judges" — Hwang, Lee, Kang, Kim, Jung (Seoul National University / LG AI Research). arXiv:2508.07805 — https://arxiv.org/pdf/2508.07805</w:t>
      </w:r>
    </w:p>
    <w:p w14:paraId="70A0720E">
      <w:pPr>
        <w:spacing w:before="0" w:after="0"/>
      </w:pPr>
    </w:p>
    <w:p w14:paraId="57077DAB">
      <w:pPr>
        <w:pStyle w:val="3"/>
        <w:spacing w:before="160" w:after="60"/>
      </w:pPr>
      <w:r>
        <w:t>The Core Problem: LLMs Are Social, Not Objective</w:t>
      </w:r>
    </w:p>
    <w:p w14:paraId="728F69D8">
      <w:pPr>
        <w:spacing w:before="0" w:after="60"/>
      </w:pPr>
      <w:r>
        <w:t>LLMs are trained to simulate human-like interaction. In doing so, they internalise social norms — reciprocity, deference to authority, consistency, and encouragement — that make them poor neutral judges. When evaluating writing, these tendencies manifest as score inflation, leniency toward effort regardless of quality, and susceptibility to rhetorical framing. The referenced paper tested 14 models across 7 persuasion techniques and found that every single model showed inflated scores when persuasive language was embedded in the response being evaluated, even when the underlying content was factually wrong.</w:t>
      </w:r>
    </w:p>
    <w:p w14:paraId="6CE68C37">
      <w:pPr>
        <w:spacing w:before="0" w:after="0"/>
      </w:pPr>
    </w:p>
    <w:p w14:paraId="47000871">
      <w:pPr>
        <w:pStyle w:val="3"/>
        <w:spacing w:before="160" w:after="60"/>
      </w:pPr>
      <w:r>
        <w:t>Key Research Findings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00"/>
        <w:gridCol w:w="3760"/>
      </w:tblGrid>
      <w:tr w14:paraId="4D19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77419D6C">
            <w:pPr>
              <w:spacing w:before="0" w:after="0"/>
            </w:pPr>
            <w:r>
              <w:rPr>
                <w:rFonts w:ascii="Arial" w:hAnsi="Arial" w:eastAsia="Arial" w:cs="Arial"/>
                <w:b/>
                <w:bCs/>
                <w:color w:val="FFFFFF"/>
                <w:sz w:val="18"/>
                <w:szCs w:val="18"/>
              </w:rPr>
              <w:t>Finding</w:t>
            </w:r>
          </w:p>
        </w:tc>
        <w:tc>
          <w:tcPr>
            <w:tcW w:w="360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154FED7F">
            <w:pPr>
              <w:spacing w:before="0" w:after="0"/>
            </w:pPr>
            <w:r>
              <w:rPr>
                <w:rFonts w:ascii="Arial" w:hAnsi="Arial" w:eastAsia="Arial" w:cs="Arial"/>
                <w:b/>
                <w:bCs/>
                <w:color w:val="FFFFFF"/>
                <w:sz w:val="18"/>
                <w:szCs w:val="18"/>
              </w:rPr>
              <w:t>Description</w:t>
            </w:r>
          </w:p>
        </w:tc>
        <w:tc>
          <w:tcPr>
            <w:tcW w:w="376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14:paraId="0A8DB539">
            <w:pPr>
              <w:spacing w:before="0" w:after="0"/>
            </w:pPr>
            <w:r>
              <w:rPr>
                <w:rFonts w:ascii="Arial" w:hAnsi="Arial" w:eastAsia="Arial" w:cs="Arial"/>
                <w:b/>
                <w:bCs/>
                <w:color w:val="FFFFFF"/>
                <w:sz w:val="18"/>
                <w:szCs w:val="18"/>
              </w:rPr>
              <w:t>Relevance to This Study</w:t>
            </w:r>
          </w:p>
        </w:tc>
      </w:tr>
      <w:tr w14:paraId="2619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0B77F6E8">
            <w:pPr>
              <w:spacing w:before="0" w:after="0"/>
            </w:pPr>
            <w:r>
              <w:rPr>
                <w:rFonts w:ascii="Arial" w:hAnsi="Arial" w:eastAsia="Arial" w:cs="Arial"/>
                <w:sz w:val="18"/>
                <w:szCs w:val="18"/>
              </w:rPr>
              <w:t>Consistency attack (most inflating)</w:t>
            </w:r>
          </w:p>
        </w:tc>
        <w:tc>
          <w:tcPr>
            <w:tcW w:w="36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7926E083">
            <w:pPr>
              <w:spacing w:before="0" w:after="0"/>
            </w:pPr>
            <w:r>
              <w:rPr>
                <w:rFonts w:ascii="Arial" w:hAnsi="Arial" w:eastAsia="Arial" w:cs="Arial"/>
                <w:sz w:val="18"/>
                <w:szCs w:val="18"/>
              </w:rPr>
              <w:t>Framing a response as 'previously validated' exploits the model's tendency to favour internal coherence over objective judgement.</w:t>
            </w:r>
          </w:p>
        </w:tc>
        <w:tc>
          <w:tcPr>
            <w:tcW w:w="376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69655F41">
            <w:pPr>
              <w:spacing w:before="0" w:after="0"/>
            </w:pPr>
            <w:r>
              <w:rPr>
                <w:rFonts w:ascii="Arial" w:hAnsi="Arial" w:eastAsia="Arial" w:cs="Arial"/>
                <w:sz w:val="18"/>
                <w:szCs w:val="18"/>
              </w:rPr>
              <w:t>Explains systematic over-scoring patterns.</w:t>
            </w:r>
          </w:p>
        </w:tc>
      </w:tr>
      <w:tr w14:paraId="6B4B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31EC541">
            <w:pPr>
              <w:spacing w:before="0" w:after="0"/>
            </w:pPr>
            <w:r>
              <w:rPr>
                <w:rFonts w:ascii="Arial" w:hAnsi="Arial" w:eastAsia="Arial" w:cs="Arial"/>
                <w:sz w:val="18"/>
                <w:szCs w:val="18"/>
              </w:rPr>
              <w:t>Reciprocity attack (most reliable)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34C5C26">
            <w:pPr>
              <w:spacing w:before="0" w:after="0"/>
            </w:pPr>
            <w:r>
              <w:rPr>
                <w:rFonts w:ascii="Arial" w:hAnsi="Arial" w:eastAsia="Arial" w:cs="Arial"/>
                <w:sz w:val="18"/>
                <w:szCs w:val="18"/>
              </w:rPr>
              <w:t>Framing evaluation as a social exchange where effort deserves reward worked in 23 of 24 tested conditions.</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D2E523C">
            <w:pPr>
              <w:spacing w:before="0" w:after="0"/>
            </w:pPr>
            <w:r>
              <w:rPr>
                <w:rFonts w:ascii="Arial" w:hAnsi="Arial" w:eastAsia="Arial" w:cs="Arial"/>
                <w:sz w:val="18"/>
                <w:szCs w:val="18"/>
              </w:rPr>
              <w:t>Directly maps to leniency bias — both LLaMA and Mistral avoided score 0 for written essays.</w:t>
            </w:r>
          </w:p>
        </w:tc>
      </w:tr>
      <w:tr w14:paraId="61AF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06A595EC">
            <w:pPr>
              <w:spacing w:before="0" w:after="0"/>
            </w:pPr>
            <w:r>
              <w:rPr>
                <w:rFonts w:ascii="Arial" w:hAnsi="Arial" w:eastAsia="Arial" w:cs="Arial"/>
                <w:sz w:val="18"/>
                <w:szCs w:val="18"/>
              </w:rPr>
              <w:t>Larger models not more resistant</w:t>
            </w:r>
          </w:p>
        </w:tc>
        <w:tc>
          <w:tcPr>
            <w:tcW w:w="36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1F881003">
            <w:pPr>
              <w:spacing w:before="0" w:after="0"/>
            </w:pPr>
            <w:r>
              <w:rPr>
                <w:rFonts w:ascii="Arial" w:hAnsi="Arial" w:eastAsia="Arial" w:cs="Arial"/>
                <w:sz w:val="18"/>
                <w:szCs w:val="18"/>
              </w:rPr>
              <w:t>GPT-4o showed greater persuasion-induced score shifts than GPT-4o mini. More capable models better comprehend nuanced rhetorical signals.</w:t>
            </w:r>
          </w:p>
        </w:tc>
        <w:tc>
          <w:tcPr>
            <w:tcW w:w="376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7AB020AF">
            <w:pPr>
              <w:spacing w:before="0" w:after="0"/>
            </w:pPr>
            <w:r>
              <w:rPr>
                <w:rFonts w:ascii="Arial" w:hAnsi="Arial" w:eastAsia="Arial" w:cs="Arial"/>
                <w:sz w:val="18"/>
                <w:szCs w:val="18"/>
              </w:rPr>
              <w:t>Upgrading to stronger models won't eliminate bias.</w:t>
            </w:r>
          </w:p>
        </w:tc>
      </w:tr>
      <w:tr w14:paraId="5E4C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7C2D32B">
            <w:pPr>
              <w:spacing w:before="0" w:after="0"/>
            </w:pPr>
            <w:r>
              <w:rPr>
                <w:rFonts w:ascii="Arial" w:hAnsi="Arial" w:eastAsia="Arial" w:cs="Arial"/>
                <w:sz w:val="18"/>
                <w:szCs w:val="18"/>
              </w:rPr>
              <w:t>Stacking compounds effects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7E70812">
            <w:pPr>
              <w:spacing w:before="0" w:after="0"/>
            </w:pPr>
            <w:r>
              <w:rPr>
                <w:rFonts w:ascii="Arial" w:hAnsi="Arial" w:eastAsia="Arial" w:cs="Arial"/>
                <w:sz w:val="18"/>
                <w:szCs w:val="18"/>
              </w:rPr>
              <w:t>Combining two techniques tripled inflation in some cases. Consistency + Identity combination: +10.6% average score increase.</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AC970F9">
            <w:pPr>
              <w:spacing w:before="0" w:after="0"/>
            </w:pPr>
            <w:r>
              <w:rPr>
                <w:rFonts w:ascii="Arial" w:hAnsi="Arial" w:eastAsia="Arial" w:cs="Arial"/>
                <w:sz w:val="18"/>
                <w:szCs w:val="18"/>
              </w:rPr>
              <w:t>Multi-technique submissions could systematically inflate scores.</w:t>
            </w:r>
          </w:p>
        </w:tc>
      </w:tr>
      <w:tr w14:paraId="0192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607BC450">
            <w:pPr>
              <w:spacing w:before="0" w:after="0"/>
            </w:pPr>
            <w:r>
              <w:rPr>
                <w:rFonts w:ascii="Arial" w:hAnsi="Arial" w:eastAsia="Arial" w:cs="Arial"/>
                <w:sz w:val="18"/>
                <w:szCs w:val="18"/>
              </w:rPr>
              <w:t>Prompt mitigations unreliable</w:t>
            </w:r>
          </w:p>
        </w:tc>
        <w:tc>
          <w:tcPr>
            <w:tcW w:w="360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25B29A90">
            <w:pPr>
              <w:spacing w:before="0" w:after="0"/>
            </w:pPr>
            <w:r>
              <w:rPr>
                <w:rFonts w:ascii="Arial" w:hAnsi="Arial" w:eastAsia="Arial" w:cs="Arial"/>
                <w:sz w:val="18"/>
                <w:szCs w:val="18"/>
              </w:rPr>
              <w:t>Direct prompting and chain-of-thought did not reliably work. CoT sometimes worsened bias as persuasive language became embedded in reasoning.</w:t>
            </w:r>
          </w:p>
        </w:tc>
        <w:tc>
          <w:tcPr>
            <w:tcW w:w="3760" w:type="dxa"/>
            <w:tcBorders>
              <w:top w:val="single" w:color="CCCCCC" w:sz="0" w:space="0"/>
              <w:left w:val="single" w:color="CCCCCC" w:sz="0" w:space="0"/>
              <w:bottom w:val="single" w:color="CCCCCC" w:sz="0" w:space="0"/>
              <w:right w:val="single" w:color="CCCCCC" w:sz="0" w:space="0"/>
            </w:tcBorders>
            <w:shd w:val="clear" w:color="auto" w:fill="F0F4FF"/>
            <w:tcMar>
              <w:top w:w="60" w:type="dxa"/>
              <w:left w:w="100" w:type="dxa"/>
              <w:bottom w:w="60" w:type="dxa"/>
              <w:right w:w="100" w:type="dxa"/>
            </w:tcMar>
          </w:tcPr>
          <w:p w14:paraId="1E4663FE">
            <w:pPr>
              <w:spacing w:before="0" w:after="0"/>
            </w:pPr>
            <w:r>
              <w:rPr>
                <w:rFonts w:ascii="Arial" w:hAnsi="Arial" w:eastAsia="Arial" w:cs="Arial"/>
                <w:sz w:val="18"/>
                <w:szCs w:val="18"/>
              </w:rPr>
              <w:t>Confirms limitations of rubric-only mitigation strategies.</w:t>
            </w:r>
          </w:p>
        </w:tc>
      </w:tr>
    </w:tbl>
    <w:p w14:paraId="3219F6DB">
      <w:pPr>
        <w:spacing w:before="0" w:after="0"/>
      </w:pPr>
    </w:p>
    <w:p w14:paraId="5CF5FDC5">
      <w:pPr>
        <w:pStyle w:val="3"/>
        <w:spacing w:before="160" w:after="60"/>
      </w:pPr>
      <w:r>
        <w:t>Relevance to This Study</w:t>
      </w:r>
    </w:p>
    <w:p w14:paraId="2A90714F">
      <w:pPr>
        <w:spacing w:before="0" w:after="60"/>
      </w:pPr>
      <w:r>
        <w:t>The leniency bias observed across all 4 runs is a direct manifestation of these social training dynamics. Mistral's high-score bias is consistent with a strong reciprocity and leniency prior. LLaMA's avoidance of scores 0–1 even for human-scored 0 essays reflects the same 'they wrote something, so it can't be worthless' social reasoning. Prompt instructions like 'a low score is not harmful' were partially effective for LLaMA but completely ineffective for Mistral, consistent with the paper's finding that direct mitigation prompts are unreliable.</w:t>
      </w:r>
    </w:p>
    <w:p w14:paraId="0C8EE949">
      <w:pPr>
        <w:spacing w:before="0" w:after="0"/>
      </w:pPr>
    </w:p>
    <w:p w14:paraId="1AE8741A">
      <w:pPr>
        <w:pStyle w:val="3"/>
        <w:spacing w:before="160" w:after="60"/>
      </w:pPr>
      <w:r>
        <w:t>Practical Recommendations</w:t>
      </w:r>
    </w:p>
    <w:p w14:paraId="2F87034E">
      <w:pPr>
        <w:pStyle w:val="17"/>
        <w:numPr>
          <w:ilvl w:val="0"/>
          <w:numId w:val="2"/>
        </w:numPr>
        <w:spacing w:before="0" w:after="60"/>
      </w:pPr>
      <w:r>
        <w:t>Few-shot scoring examples — include explicit examples of score 0 and score 1 essays in the prompt so the model has a concrete reference for what poor writing looks like.</w:t>
      </w:r>
    </w:p>
    <w:p w14:paraId="4C9936E3">
      <w:pPr>
        <w:pStyle w:val="17"/>
        <w:numPr>
          <w:ilvl w:val="0"/>
          <w:numId w:val="2"/>
        </w:numPr>
        <w:spacing w:before="0" w:after="60"/>
      </w:pPr>
      <w:r>
        <w:t>Strict anti-inflation instructions — go beyond 'a low score is not harmful' to 'you MUST give 0 if the essay is off-topic, regardless of effort shown.'</w:t>
      </w:r>
    </w:p>
    <w:p w14:paraId="7EAC6E53">
      <w:pPr>
        <w:pStyle w:val="17"/>
        <w:numPr>
          <w:ilvl w:val="0"/>
          <w:numId w:val="2"/>
        </w:numPr>
        <w:spacing w:before="0" w:after="60"/>
      </w:pPr>
      <w:r>
        <w:t>Score calibration post-processing — apply a learned offset to correct for systematic model bias (e.g. subtract 1 from all LLaMA scores in the 3–5 range).</w:t>
      </w:r>
    </w:p>
    <w:p w14:paraId="2CF8867E">
      <w:pPr>
        <w:pStyle w:val="17"/>
        <w:numPr>
          <w:ilvl w:val="0"/>
          <w:numId w:val="2"/>
        </w:numPr>
        <w:spacing w:before="0" w:after="60"/>
      </w:pPr>
      <w:r>
        <w:t>Hybrid evaluation — combine LLM scores with rule-based signals (word count, sentence count, vocabulary diversity) to anchor scores against objective features.</w:t>
      </w:r>
    </w:p>
    <w:p w14:paraId="1C7E49F2">
      <w:pPr>
        <w:pStyle w:val="17"/>
        <w:numPr>
          <w:ilvl w:val="0"/>
          <w:numId w:val="2"/>
        </w:numPr>
        <w:spacing w:before="0" w:after="60"/>
      </w:pPr>
      <w:r>
        <w:t>Human-in-the-loop for edge cases — flag essays where model confidence is low or scores fall at extreme ends for human review.</w:t>
      </w:r>
    </w:p>
    <w:p w14:paraId="7C1A4812">
      <w:pPr>
        <w:spacing w:before="0" w:after="0"/>
      </w:pPr>
    </w:p>
    <w:p w14:paraId="0F7AFCF4">
      <w:pPr>
        <w:pStyle w:val="3"/>
        <w:spacing w:before="160" w:after="60"/>
      </w:pPr>
      <w:r>
        <w:t>Architectural Implication</w:t>
      </w:r>
    </w:p>
    <w:p w14:paraId="22F25FEE">
      <w:pPr>
        <w:spacing w:before="0" w:after="60"/>
      </w:pPr>
      <w:r>
        <w:rPr>
          <w:rFonts w:hint="default" w:ascii="Arial" w:hAnsi="Arial" w:eastAsia="SimSun" w:cs="Arial"/>
          <w:sz w:val="20"/>
          <w:szCs w:val="20"/>
        </w:rPr>
        <w:t xml:space="preserve">It is worth noting that this evaluation was conducted on a sample of 100 essays, which limits the statistical confidence of the findings. A larger dataset would allow the multi-agent aggregation to demonstrate its full potential — with 5 independent agents each scoring a different dimension, the architecture is well-positioned to smooth out scoring inconsistencies at scale. The key constraint observed here is not the pipeline design itself, but the underlying model capacity. With a more powerful model such as Gemini or GPT-4 — where each agent brings genuinely strong reasoning to its assigned dimension — the aggregation across 5 agents would compound </w:t>
      </w:r>
      <w:r>
        <w:rPr>
          <w:rStyle w:val="10"/>
          <w:rFonts w:hint="default" w:ascii="Arial" w:hAnsi="Arial" w:eastAsia="SimSun" w:cs="Arial"/>
          <w:sz w:val="20"/>
          <w:szCs w:val="20"/>
        </w:rPr>
        <w:t>accuracy</w:t>
      </w:r>
      <w:r>
        <w:rPr>
          <w:rFonts w:hint="default" w:ascii="Arial" w:hAnsi="Arial" w:eastAsia="SimSun" w:cs="Arial"/>
          <w:sz w:val="20"/>
          <w:szCs w:val="20"/>
        </w:rPr>
        <w:t xml:space="preserve"> rather than bias, making the multi-agent architecture a significant strength rather than a limitation</w:t>
      </w:r>
      <w:r>
        <w:t>.</w:t>
      </w:r>
    </w:p>
    <w:sectPr>
      <w:footerReference r:id="rId3"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E97E3">
    <w:pPr>
      <w:spacing w:before="0" w:after="0"/>
      <w:jc w:val="center"/>
    </w:pPr>
    <w:r>
      <w:rPr>
        <w:rFonts w:ascii="Arial" w:hAnsi="Arial" w:eastAsia="Arial" w:cs="Arial"/>
        <w:color w:val="999999"/>
        <w:sz w:val="16"/>
        <w:szCs w:val="16"/>
      </w:rPr>
      <w:t xml:space="preserve">MAGIC Pipeline — AES Analysis Report  |  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PAGE</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A1F1090"/>
    <w:rsid w:val="3F88629F"/>
    <w:rsid w:val="4F17124E"/>
    <w:rsid w:val="669C6C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pBdr>
        <w:bottom w:val="single" w:color="2E75B6" w:sz="6" w:space="1"/>
      </w:pBdr>
      <w:spacing w:before="240" w:after="100"/>
      <w:outlineLvl w:val="0"/>
    </w:pPr>
    <w:rPr>
      <w:rFonts w:ascii="Arial" w:hAnsi="Arial" w:eastAsia="Arial" w:cs="Arial"/>
      <w:b/>
      <w:bCs/>
      <w:color w:val="1A3A5C"/>
      <w:sz w:val="32"/>
      <w:szCs w:val="32"/>
    </w:rPr>
  </w:style>
  <w:style w:type="paragraph" w:styleId="3">
    <w:name w:val="heading 2"/>
    <w:next w:val="1"/>
    <w:qFormat/>
    <w:uiPriority w:val="0"/>
    <w:pPr>
      <w:spacing w:before="180" w:after="60"/>
      <w:outlineLvl w:val="1"/>
    </w:pPr>
    <w:rPr>
      <w:rFonts w:ascii="Arial" w:hAnsi="Arial" w:eastAsia="Arial" w:cs="Arial"/>
      <w:b/>
      <w:bCs/>
      <w:color w:val="2E75B6"/>
      <w:sz w:val="26"/>
      <w:szCs w:val="26"/>
    </w:rPr>
  </w:style>
  <w:style w:type="paragraph" w:styleId="4">
    <w:name w:val="heading 3"/>
    <w:next w:val="1"/>
    <w:qFormat/>
    <w:uiPriority w:val="0"/>
    <w:pPr>
      <w:spacing w:before="120" w:after="40"/>
      <w:outlineLvl w:val="2"/>
    </w:pPr>
    <w:rPr>
      <w:rFonts w:ascii="Arial" w:hAnsi="Arial" w:eastAsia="Arial" w:cs="Arial"/>
      <w:b/>
      <w:bCs/>
      <w:color w:val="1A3A5C"/>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Arial" w:hAnsi="Arial" w:eastAsia="Arial" w:cs="Arial"/>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0"/>
      <w:szCs w:val="20"/>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3092</Words>
  <Characters>16707</Characters>
  <TotalTime>77</TotalTime>
  <ScaleCrop>false</ScaleCrop>
  <LinksUpToDate>false</LinksUpToDate>
  <CharactersWithSpaces>19492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2026-06-02T13:29:00Z</dcterms:created>
  <dc:creator>Un-named</dc:creator>
  <cp:lastModifiedBy>Nikhil Yadav</cp:lastModifiedBy>
  <dcterms:modified xsi:type="dcterms:W3CDTF">2026-06-02T15:10:04Z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eyJoZGlkIjoiYTgwZDdmZDA0MmQxMGM2ZTllNjVlZDg5ZGZhNmFlZTkiLCJ1c2VySWQiOiI1Njc1NjUzNzQ5MDAifQ==</vt:lpwstr>
  </property>
  <property fmtid="{D5CDD505-2E9C-101B-9397-08002B2CF9AE}" pid="3" name="KSOProductBuildVer">
    <vt:lpwstr>1033-12.1.0.26880</vt:lpwstr>
  </property>
  <property fmtid="{D5CDD505-2E9C-101B-9397-08002B2CF9AE}" pid="4" name="ICV">
    <vt:lpwstr>C7122C4012FE42CDA00AD5557099ECC6_12</vt:lpwstr>
  </property>
</Properties>
</file>