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00" w:before="0"/>
        <w:jc w:val="center"/>
      </w:pPr>
      <w:r>
        <w:rPr>
          <w:rFonts w:ascii="Arial" w:cs="Arial" w:eastAsia="Arial" w:hAnsi="Arial"/>
          <w:b/>
          <w:bCs/>
          <w:color w:val="1F3864"/>
          <w:sz w:val="56"/>
          <w:szCs w:val="56"/>
        </w:rPr>
        <w:t xml:space="preserve">Hybrid Pipeline — Performance Analysis</w:t>
      </w:r>
    </w:p>
    <w:p>
      <w:pPr>
        <w:spacing w:after="80" w:before="0"/>
        <w:jc w:val="center"/>
      </w:pPr>
      <w:r>
        <w:rPr>
          <w:rFonts w:ascii="Arial" w:cs="Arial" w:eastAsia="Arial" w:hAnsi="Arial"/>
          <w:color w:val="2E75B6"/>
          <w:sz w:val="26"/>
          <w:szCs w:val="26"/>
        </w:rPr>
        <w:t xml:space="preserve">MAGIC + SRCE  ·  llama3.1:8b  ·  ASAP-2 Balanced  ·  N = 379 Essays</w:t>
      </w:r>
    </w:p>
    <w:p>
      <w:pPr>
        <w:spacing w:after="60" w:before="0"/>
        <w:jc w:val="center"/>
      </w:pPr>
      <w:r>
        <w:rPr>
          <w:rFonts w:ascii="Arial" w:cs="Arial" w:eastAsia="Arial" w:hAnsi="Arial"/>
          <w:color w:val="888888"/>
          <w:sz w:val="21"/>
          <w:szCs w:val="21"/>
        </w:rPr>
        <w:t xml:space="preserve">Zero-shot  ·  Fully local via Ollama  ·  Kaggle T4 GPU (free tier)</w:t>
      </w:r>
    </w:p>
    <w:p>
      <w:pPr>
        <w:pBdr>
          <w:bottom w:val="single" w:color="2E75B6" w:sz="12" w:space="1"/>
        </w:pBdr>
        <w:spacing w:after="20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6E" w:sz="6"/>
              <w:left w:val="single" w:color="1F7A6E" w:sz="6"/>
              <w:bottom w:val="single" w:color="1F7A6E" w:sz="6"/>
              <w:right w:val="single" w:color="1F7A6E" w:sz="6"/>
            </w:tcBorders>
            <w:shd w:fill="D1F0EB" w:val="clear"/>
            <w:tcMar>
              <w:top w:type="dxa" w:w="100"/>
              <w:left w:type="dxa" w:w="140"/>
              <w:bottom w:type="dxa" w:w="100"/>
              <w:right w:type="dxa" w:w="140"/>
            </w:tcMar>
          </w:tcPr>
          <w:p>
            <w:pPr>
              <w:spacing w:after="60" w:before="0"/>
              <w:jc w:val="center"/>
            </w:pPr>
            <w:r>
              <w:rPr>
                <w:rFonts w:ascii="Arial" w:cs="Arial" w:eastAsia="Arial" w:hAnsi="Arial"/>
                <w:b/>
                <w:bCs/>
                <w:color w:val="1F7A6E"/>
                <w:sz w:val="64"/>
                <w:szCs w:val="64"/>
              </w:rPr>
              <w:t xml:space="preserve">QWK = 0.512</w:t>
            </w:r>
          </w:p>
          <w:p>
            <w:pPr>
              <w:spacing w:after="0" w:before="0"/>
              <w:jc w:val="center"/>
            </w:pPr>
            <w:r>
              <w:rPr>
                <w:rFonts w:ascii="Arial" w:cs="Arial" w:eastAsia="Arial" w:hAnsi="Arial"/>
                <w:color w:val="1F3864"/>
                <w:sz w:val="22"/>
                <w:szCs w:val="22"/>
              </w:rPr>
              <w:t xml:space="preserve">Moderate agreement with human raters  ·  Zero fine-tuning  ·  Fully local  ·  Free</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1.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Parameter</w:t>
            </w:r>
          </w:p>
        </w:tc>
        <w:tc>
          <w:tcPr>
            <w:tcW w:type="dxa" w:w="6560"/>
            <w:tcBorders>
              <w:top w:val="single" w:color="CCCCCC" w:sz="6"/>
              <w:left w:val="single" w:color="CCCCCC" w:sz="6"/>
              <w:bottom w:val="single" w:color="CCCCCC" w:sz="6"/>
              <w:right w:val="single" w:color="CCCCCC" w:sz="6"/>
            </w:tcBorders>
            <w:shd w:fill="2E75B6" w:val="clear"/>
            <w:tcMar>
              <w:top w:type="dxa" w:w="80"/>
              <w:left w:type="dxa" w:w="110"/>
              <w:bottom w:type="dxa" w:w="80"/>
              <w:right w:type="dxa" w:w="110"/>
            </w:tcMar>
          </w:tcPr>
          <w:p>
            <w:r>
              <w:rPr>
                <w:rFonts w:ascii="Arial" w:cs="Arial" w:eastAsia="Arial" w:hAnsi="Arial"/>
                <w:b/>
                <w:bCs/>
                <w:color w:val="FFFFFF"/>
                <w:sz w:val="21"/>
                <w:szCs w:val="21"/>
              </w:rPr>
              <w:t xml:space="preserve">Detail</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Pipeline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Hybrid = MAGIC orchestrator (holistic scoring) + SRCE (5 trait agents for structured evidence extraction)</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Model</w:t>
            </w:r>
          </w:p>
        </w:tc>
        <w:tc>
          <w:tcPr>
            <w:tcW w:type="dxa" w:w="6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llama3.1:8b — 8 billion parameter open-source model, running fully locally via Ollama</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Dataset</w:t>
            </w:r>
          </w:p>
        </w:tc>
        <w:tc>
          <w:tcPr>
            <w:tcW w:type="dxa" w:w="6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ASAP-2 Balanced — ~63 essays per score tier (1–6), total 379 essays evaluated</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Evaluation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Zero-shot — no fine-tuning, no task-specific training, pure prompt engineering</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Infrastructure</w:t>
            </w:r>
          </w:p>
        </w:tc>
        <w:tc>
          <w:tcPr>
            <w:tcW w:type="dxa" w:w="6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Kaggle T4 GPU (16GB VRAM), free tier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6"/>
              <w:right w:val="single" w:color="B45309" w:sz="6"/>
            </w:tcBorders>
            <w:shd w:fill="FEF3C7" w:val="clear"/>
            <w:tcMar>
              <w:top w:type="dxa" w:w="100"/>
              <w:left w:type="dxa" w:w="140"/>
              <w:bottom w:type="dxa" w:w="100"/>
              <w:right w:type="dxa" w:w="140"/>
            </w:tcMar>
          </w:tcPr>
          <w:p>
            <w:pPr>
              <w:spacing w:after="60" w:before="0"/>
            </w:pPr>
            <w:r>
              <w:rPr>
                <w:rFonts w:ascii="Arial" w:cs="Arial" w:eastAsia="Arial" w:hAnsi="Arial"/>
                <w:b/>
                <w:bCs/>
                <w:color w:val="1F3864"/>
                <w:sz w:val="22"/>
                <w:szCs w:val="22"/>
              </w:rPr>
              <w:t xml:space="preserve">What makes ASAP-2 Balanced hard:</w:t>
            </w:r>
          </w:p>
          <w:p>
            <w:pPr>
              <w:spacing w:after="0" w:before="0"/>
            </w:pPr>
            <w:r>
              <w:rPr>
                <w:rFonts w:ascii="Arial" w:cs="Arial" w:eastAsia="Arial" w:hAnsi="Arial"/>
                <w:sz w:val="22"/>
                <w:szCs w:val="22"/>
              </w:rPr>
              <w:t xml:space="preserve">The natural ASAP-2 distribution has most essays clustered around average scores (2–4). Our stratified balanced sample deliberately forces approximately equal representation across all six score tiers. This eliminates the easy strategy of always predicting the middle — the model must discriminate genuinely across the full 1–6 range to achieve any meaningful QWK. A natural distribution would show higher metrics. QWK 0.512 on a balanced benchmark is therefore a conservative and honest measure of the pipeline's actual capability.</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Metric</w:t>
            </w:r>
          </w:p>
        </w:tc>
        <w:tc>
          <w:tcPr>
            <w:tcW w:type="dxa" w:w="156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pPr>
              <w:jc w:val="center"/>
            </w:pPr>
            <w:r>
              <w:rPr>
                <w:rFonts w:ascii="Arial" w:cs="Arial" w:eastAsia="Arial" w:hAnsi="Arial"/>
                <w:b/>
                <w:bCs/>
                <w:color w:val="FFFFFF"/>
                <w:sz w:val="21"/>
                <w:szCs w:val="21"/>
              </w:rPr>
              <w:t xml:space="preserve">Value</w:t>
            </w:r>
          </w:p>
        </w:tc>
        <w:tc>
          <w:tcPr>
            <w:tcW w:type="dxa" w:w="540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Interpretation</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QWK</w:t>
            </w:r>
          </w:p>
        </w:tc>
        <w:tc>
          <w:tcPr>
            <w:tcW w:type="dxa" w:w="1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b/>
                <w:bCs/>
                <w:color w:val="1F7A6E"/>
                <w:sz w:val="22"/>
                <w:szCs w:val="22"/>
              </w:rPr>
              <w:t xml:space="preserve">0.512</w:t>
            </w:r>
          </w:p>
        </w:tc>
        <w:tc>
          <w:tcPr>
            <w:tcW w:type="dxa" w:w="54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Moderate agreement with human raters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Pearson r</w:t>
            </w:r>
          </w:p>
        </w:tc>
        <w:tc>
          <w:tcPr>
            <w:tcW w:type="dxa" w:w="1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b/>
                <w:bCs/>
                <w:color w:val="2E75B6"/>
                <w:sz w:val="22"/>
                <w:szCs w:val="22"/>
              </w:rPr>
              <w:t xml:space="preserve">0.619</w:t>
            </w:r>
          </w:p>
        </w:tc>
        <w:tc>
          <w:tcPr>
            <w:tcW w:type="dxa" w:w="54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Moderate positive linear correlation — model tracks relative quality well</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MAE</w:t>
            </w:r>
          </w:p>
        </w:tc>
        <w:tc>
          <w:tcPr>
            <w:tcW w:type="dxa" w:w="1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b/>
                <w:bCs/>
                <w:color w:val="B45309"/>
                <w:sz w:val="22"/>
                <w:szCs w:val="22"/>
              </w:rPr>
              <w:t xml:space="preserve">1.087</w:t>
            </w:r>
          </w:p>
        </w:tc>
        <w:tc>
          <w:tcPr>
            <w:tcW w:type="dxa" w:w="54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Average prediction off by ~1 point from human score</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Exact Match</w:t>
            </w:r>
          </w:p>
        </w:tc>
        <w:tc>
          <w:tcPr>
            <w:tcW w:type="dxa" w:w="1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b/>
                <w:bCs/>
                <w:color w:val="5C3489"/>
                <w:sz w:val="22"/>
                <w:szCs w:val="22"/>
              </w:rPr>
              <w:t xml:space="preserve">29.0%</w:t>
            </w:r>
          </w:p>
        </w:tc>
        <w:tc>
          <w:tcPr>
            <w:tcW w:type="dxa" w:w="54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Correct score 1 in 3 times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±1 Accuracy</w:t>
            </w:r>
          </w:p>
        </w:tc>
        <w:tc>
          <w:tcPr>
            <w:tcW w:type="dxa" w:w="15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b/>
                <w:bCs/>
                <w:color w:val="1A6B3C"/>
                <w:sz w:val="22"/>
                <w:szCs w:val="22"/>
              </w:rPr>
              <w:t xml:space="preserve">71.2%</w:t>
            </w:r>
          </w:p>
        </w:tc>
        <w:tc>
          <w:tcPr>
            <w:tcW w:type="dxa" w:w="54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Within 1 point of human score 71% of the time</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3. What QWK 0.512 Means in Context</w:t>
      </w:r>
    </w:p>
    <w:p>
      <w:pPr>
        <w:spacing w:after="60" w:before="60"/>
      </w:pPr>
      <w:r>
        <w:rPr>
          <w:rFonts w:ascii="Arial" w:cs="Arial" w:eastAsia="Arial" w:hAnsi="Arial"/>
          <w:sz w:val="22"/>
          <w:szCs w:val="22"/>
        </w:rPr>
        <w:t xml:space="preserve">QWK (Quadratic Weighted Kappa) measures agreement between the model's scores and human scores, penalising large disagreements more heavily than small ones. 0 = no better than random, 1 = perfect agreement.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6"/>
              <w:left w:val="single" w:color="CCCCCC" w:sz="6"/>
              <w:bottom w:val="single" w:color="CCCCCC" w:sz="6"/>
              <w:right w:val="single" w:color="CCCCCC" w:sz="6"/>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System</w:t>
            </w:r>
          </w:p>
        </w:tc>
        <w:tc>
          <w:tcPr>
            <w:tcW w:type="dxa" w:w="1600"/>
            <w:tcBorders>
              <w:top w:val="single" w:color="CCCCCC" w:sz="6"/>
              <w:left w:val="single" w:color="CCCCCC" w:sz="6"/>
              <w:bottom w:val="single" w:color="CCCCCC" w:sz="6"/>
              <w:right w:val="single" w:color="CCCCCC" w:sz="6"/>
            </w:tcBorders>
            <w:shd w:fill="2E75B6" w:val="clear"/>
            <w:tcMar>
              <w:top w:type="dxa" w:w="80"/>
              <w:left w:type="dxa" w:w="110"/>
              <w:bottom w:type="dxa" w:w="80"/>
              <w:right w:type="dxa" w:w="110"/>
            </w:tcMar>
          </w:tcPr>
          <w:p>
            <w:r>
              <w:rPr>
                <w:rFonts w:ascii="Arial" w:cs="Arial" w:eastAsia="Arial" w:hAnsi="Arial"/>
                <w:b/>
                <w:bCs/>
                <w:color w:val="FFFFFF"/>
                <w:sz w:val="21"/>
                <w:szCs w:val="21"/>
              </w:rPr>
              <w:t xml:space="preserve">QWK</w:t>
            </w:r>
          </w:p>
        </w:tc>
        <w:tc>
          <w:tcPr>
            <w:tcW w:type="dxa" w:w="4960"/>
            <w:tcBorders>
              <w:top w:val="single" w:color="CCCCCC" w:sz="6"/>
              <w:left w:val="single" w:color="CCCCCC" w:sz="6"/>
              <w:bottom w:val="single" w:color="CCCCCC" w:sz="6"/>
              <w:right w:val="single" w:color="CCCCCC" w:sz="6"/>
            </w:tcBorders>
            <w:shd w:fill="1F7A6E" w:val="clear"/>
            <w:tcMar>
              <w:top w:type="dxa" w:w="80"/>
              <w:left w:type="dxa" w:w="110"/>
              <w:bottom w:type="dxa" w:w="80"/>
              <w:right w:type="dxa" w:w="110"/>
            </w:tcMar>
          </w:tcPr>
          <w:p>
            <w:r>
              <w:rPr>
                <w:rFonts w:ascii="Arial" w:cs="Arial" w:eastAsia="Arial" w:hAnsi="Arial"/>
                <w:b/>
                <w:bCs/>
                <w:color w:val="FFFFFF"/>
                <w:sz w:val="21"/>
                <w:szCs w:val="21"/>
              </w:rPr>
              <w:t xml:space="preserve">Notes</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Human-Human inter-rater agreement</w:t>
            </w:r>
          </w:p>
        </w:tc>
        <w:tc>
          <w:tcPr>
            <w:tcW w:type="dxa" w:w="16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0.75 – 0.85</w:t>
            </w:r>
          </w:p>
        </w:tc>
        <w:tc>
          <w:tcPr>
            <w:tcW w:type="dxa" w:w="49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Two trained raters scoring the same essay</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Fine-tuned BERT (state of the art AES)</w:t>
            </w:r>
          </w:p>
        </w:tc>
        <w:tc>
          <w:tcPr>
            <w:tcW w:type="dxa" w:w="16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0.75 – 0.85</w:t>
            </w:r>
          </w:p>
        </w:tc>
        <w:tc>
          <w:tcPr>
            <w:tcW w:type="dxa" w:w="49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Task-specific training on thousands of labelled essays</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Our Hybrid — llama3.1:8b</w:t>
            </w:r>
          </w:p>
        </w:tc>
        <w:tc>
          <w:tcPr>
            <w:tcW w:type="dxa" w:w="16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0.512</w:t>
            </w:r>
          </w:p>
        </w:tc>
        <w:tc>
          <w:tcPr>
            <w:tcW w:type="dxa" w:w="49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Zero training, fully local, free, 8B parameters</w:t>
            </w:r>
          </w:p>
        </w:tc>
      </w:tr>
      <w:tr>
        <w:tc>
          <w:tcPr>
            <w:tcW w:type="dxa" w:w="28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Random baseline</w:t>
            </w:r>
          </w:p>
        </w:tc>
        <w:tc>
          <w:tcPr>
            <w:tcW w:type="dxa" w:w="16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~0.0</w:t>
            </w:r>
          </w:p>
        </w:tc>
        <w:tc>
          <w:tcPr>
            <w:tcW w:type="dxa" w:w="49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No skill — assigns scores at random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7A6E" w:sz="18"/>
              <w:bottom w:val="none" w:color="FFFFFF" w:sz="0"/>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sz w:val="22"/>
                <w:szCs w:val="22"/>
              </w:rPr>
              <w:t xml:space="preserve">Our pipeline achieves moderate agreement with zero training whatsoever. The gap to human-level agreement (~0.75) is entirely the fine-tuning opportunity — same architecture, same hardware, same cost.</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4. Failure Mode — Score Compression</w:t>
      </w:r>
    </w:p>
    <w:p>
      <w:pPr>
        <w:spacing w:after="60" w:before="60"/>
      </w:pPr>
      <w:r>
        <w:rPr>
          <w:rFonts w:ascii="Arial" w:cs="Arial" w:eastAsia="Arial" w:hAnsi="Arial"/>
          <w:sz w:val="22"/>
          <w:szCs w:val="22"/>
        </w:rPr>
        <w:t xml:space="preserve">The single biggest weakness visible in the confusion matrix is score compression: the model avoids extreme scores and clusters predictions in the 2–4 range.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C0392B" w:val="clear"/>
            <w:tcMar>
              <w:top w:type="dxa" w:w="80"/>
              <w:left w:type="dxa" w:w="140"/>
              <w:bottom w:type="dxa" w:w="80"/>
              <w:right w:type="dxa" w:w="140"/>
            </w:tcMar>
          </w:tcPr>
          <w:p>
            <w:r>
              <w:rPr>
                <w:rFonts w:ascii="Arial" w:cs="Arial" w:eastAsia="Arial" w:hAnsi="Arial"/>
                <w:b/>
                <w:bCs/>
                <w:color w:val="FFFFFF"/>
                <w:sz w:val="24"/>
                <w:szCs w:val="24"/>
              </w:rPr>
              <w:t xml:space="preserve">Key Compression Evidence</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Model almost never predicts score 0, 1, 5, or 6</w:t>
      </w:r>
    </w:p>
    <w:p>
      <w:pPr>
        <w:pStyle w:val="ListParagraph"/>
        <w:numPr>
          <w:ilvl w:val="0"/>
          <w:numId w:val="2"/>
        </w:numPr>
        <w:spacing w:after="40" w:before="40"/>
      </w:pPr>
      <w:r>
        <w:rPr>
          <w:rFonts w:ascii="Arial" w:cs="Arial" w:eastAsia="Arial" w:hAnsi="Arial"/>
          <w:b w:val="false"/>
          <w:bCs w:val="false"/>
          <w:sz w:val="22"/>
          <w:szCs w:val="22"/>
        </w:rPr>
        <w:t xml:space="preserve">Essays scored 1 by humans → model predicts 2 in 48 out of 60 cases (80%)</w:t>
      </w:r>
    </w:p>
    <w:p>
      <w:pPr>
        <w:pStyle w:val="ListParagraph"/>
        <w:numPr>
          <w:ilvl w:val="0"/>
          <w:numId w:val="2"/>
        </w:numPr>
        <w:spacing w:after="40" w:before="40"/>
      </w:pPr>
      <w:r>
        <w:rPr>
          <w:rFonts w:ascii="Arial" w:cs="Arial" w:eastAsia="Arial" w:hAnsi="Arial"/>
          <w:b w:val="false"/>
          <w:bCs w:val="false"/>
          <w:sz w:val="22"/>
          <w:szCs w:val="22"/>
        </w:rPr>
        <w:t xml:space="preserve">Essays scored 6 by humans → model predicts 3 or 4 in 45 out of 61 cases (74%)</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6"/>
              <w:left w:val="single" w:color="CCCCCC" w:sz="6"/>
              <w:bottom w:val="single" w:color="CCCCCC" w:sz="6"/>
              <w:right w:val="single" w:color="CCCCCC" w:sz="6"/>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Cause</w:t>
            </w:r>
          </w:p>
        </w:tc>
        <w:tc>
          <w:tcPr>
            <w:tcW w:type="dxa" w:w="6960"/>
            <w:tcBorders>
              <w:top w:val="single" w:color="CCCCCC" w:sz="6"/>
              <w:left w:val="single" w:color="CCCCCC" w:sz="6"/>
              <w:bottom w:val="single" w:color="CCCCCC" w:sz="6"/>
              <w:right w:val="single" w:color="CCCCCC" w:sz="6"/>
            </w:tcBorders>
            <w:shd w:fill="2E75B6" w:val="clear"/>
            <w:tcMar>
              <w:top w:type="dxa" w:w="80"/>
              <w:left w:type="dxa" w:w="110"/>
              <w:bottom w:type="dxa" w:w="80"/>
              <w:right w:type="dxa" w:w="110"/>
            </w:tcMar>
          </w:tcPr>
          <w:p>
            <w:r>
              <w:rPr>
                <w:rFonts w:ascii="Arial" w:cs="Arial" w:eastAsia="Arial" w:hAnsi="Arial"/>
                <w:b/>
                <w:bCs/>
                <w:color w:val="FFFFFF"/>
                <w:sz w:val="21"/>
                <w:szCs w:val="21"/>
              </w:rPr>
              <w:t xml:space="preserve">Explanation</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Small model hedging</w:t>
            </w:r>
          </w:p>
        </w:tc>
        <w:tc>
          <w:tcPr>
            <w:tcW w:type="dxa" w:w="69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llama3.1:8b is a small instruction-tuned model. Like most small LLMs, it gravitates toward safe middle scores rather than committing to extremes.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RLHF training bias</w:t>
            </w:r>
          </w:p>
        </w:tc>
        <w:tc>
          <w:tcPr>
            <w:tcW w:type="dxa" w:w="69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Instruction-tuned models are trained to be helpful and non-harsh. This bakes in leniency — the model is reluctant to issue a score of 1 even for genuinely poor essays.</w:t>
            </w:r>
          </w:p>
        </w:tc>
      </w:tr>
      <w:tr>
        <w:tc>
          <w:tcPr>
            <w:tcW w:type="dxa" w:w="24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sz w:val="21"/>
                <w:szCs w:val="21"/>
              </w:rPr>
              <w:t xml:space="preserve">Score compression is a known phenomenon</w:t>
            </w:r>
          </w:p>
        </w:tc>
        <w:tc>
          <w:tcPr>
            <w:tcW w:type="dxa" w:w="69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Documented across all zero-shot LLM AES systems, not specific to this pipeline. Larger models compress less. Fine-tuning eliminates 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CE8E6" w:val="clear"/>
            <w:tcMar>
              <w:top w:type="dxa" w:w="100"/>
              <w:left w:type="dxa" w:w="140"/>
              <w:bottom w:type="dxa" w:w="100"/>
              <w:right w:type="dxa" w:w="140"/>
            </w:tcMar>
          </w:tcPr>
          <w:p>
            <w:pPr>
              <w:spacing w:after="60" w:before="0"/>
            </w:pPr>
            <w:r>
              <w:rPr>
                <w:rFonts w:ascii="Arial" w:cs="Arial" w:eastAsia="Arial" w:hAnsi="Arial"/>
                <w:b/>
                <w:bCs/>
                <w:color w:val="C0392B"/>
                <w:sz w:val="22"/>
                <w:szCs w:val="22"/>
              </w:rPr>
              <w:t xml:space="preserve">Effect on QWK:</w:t>
            </w:r>
          </w:p>
          <w:p>
            <w:pPr>
              <w:spacing w:after="0" w:before="0"/>
            </w:pPr>
            <w:r>
              <w:rPr>
                <w:rFonts w:ascii="Arial" w:cs="Arial" w:eastAsia="Arial" w:hAnsi="Arial"/>
                <w:sz w:val="22"/>
                <w:szCs w:val="22"/>
              </w:rPr>
              <w:t xml:space="preserve">QWK penalises large disagreements quadratically — calling a 6 a 3 hurts ~9x more than calling a 3 a 4. Score compression at the extremes (1s called as 2s, 6s called as 3–4s) is therefore directly and significantly suppressing our QWK below what the model's actual relative ranking ability would otherwise produce.</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5. Where the Model Works Well</w:t>
      </w:r>
    </w:p>
    <w:p>
      <w:pPr>
        <w:spacing w:after="60" w:before="60"/>
      </w:pPr>
      <w:r>
        <w:rPr>
          <w:rFonts w:ascii="Arial" w:cs="Arial" w:eastAsia="Arial" w:hAnsi="Arial"/>
          <w:sz w:val="22"/>
          <w:szCs w:val="22"/>
        </w:rPr>
        <w:t xml:space="preserve">Despite score compression, the model handles mid-range scores reasonably well. Score 2 in particular is accurately predicted 74% of the 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c>
          <w:tcPr>
            <w:tcW w:type="dxa" w:w="150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Score Tier</w:t>
            </w:r>
          </w:p>
        </w:tc>
        <w:tc>
          <w:tcPr>
            <w:tcW w:type="dxa" w:w="180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pPr>
              <w:jc w:val="center"/>
            </w:pPr>
            <w:r>
              <w:rPr>
                <w:rFonts w:ascii="Arial" w:cs="Arial" w:eastAsia="Arial" w:hAnsi="Arial"/>
                <w:b/>
                <w:bCs/>
                <w:color w:val="FFFFFF"/>
                <w:sz w:val="21"/>
                <w:szCs w:val="21"/>
              </w:rPr>
              <w:t xml:space="preserve">Correct</w:t>
            </w:r>
          </w:p>
        </w:tc>
        <w:tc>
          <w:tcPr>
            <w:tcW w:type="dxa" w:w="180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pPr>
              <w:jc w:val="center"/>
            </w:pPr>
            <w:r>
              <w:rPr>
                <w:rFonts w:ascii="Arial" w:cs="Arial" w:eastAsia="Arial" w:hAnsi="Arial"/>
                <w:b/>
                <w:bCs/>
                <w:color w:val="FFFFFF"/>
                <w:sz w:val="21"/>
                <w:szCs w:val="21"/>
              </w:rPr>
              <w:t xml:space="preserve">Total</w:t>
            </w:r>
          </w:p>
        </w:tc>
        <w:tc>
          <w:tcPr>
            <w:tcW w:type="dxa" w:w="426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Accuracy</w:t>
            </w:r>
          </w:p>
        </w:tc>
      </w:tr>
      <w:tr>
        <w:tc>
          <w:tcPr>
            <w:tcW w:type="dxa" w:w="15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Score 2</w:t>
            </w:r>
          </w:p>
        </w:tc>
        <w:tc>
          <w:tcPr>
            <w:tcW w:type="dxa" w:w="1800"/>
            <w:tcBorders>
              <w:top w:val="single" w:color="CCCCCC" w:sz="6"/>
              <w:left w:val="single" w:color="CCCCCC" w:sz="6"/>
              <w:bottom w:val="single" w:color="CCCCCC" w:sz="6"/>
              <w:right w:val="single" w:color="CCCCCC" w:sz="6"/>
            </w:tcBorders>
            <w:shd w:fill="D4EDDA" w:val="clear"/>
            <w:tcMar>
              <w:top w:type="dxa" w:w="80"/>
              <w:left w:type="dxa" w:w="110"/>
              <w:bottom w:type="dxa" w:w="80"/>
              <w:right w:type="dxa" w:w="110"/>
            </w:tcMar>
          </w:tcPr>
          <w:p>
            <w:pPr>
              <w:jc w:val="center"/>
            </w:pPr>
            <w:r>
              <w:rPr>
                <w:rFonts w:ascii="Arial" w:cs="Arial" w:eastAsia="Arial" w:hAnsi="Arial"/>
                <w:sz w:val="21"/>
                <w:szCs w:val="21"/>
              </w:rPr>
              <w:t xml:space="preserve">53</w:t>
            </w:r>
          </w:p>
        </w:tc>
        <w:tc>
          <w:tcPr>
            <w:tcW w:type="dxa" w:w="1800"/>
            <w:tcBorders>
              <w:top w:val="single" w:color="CCCCCC" w:sz="6"/>
              <w:left w:val="single" w:color="CCCCCC" w:sz="6"/>
              <w:bottom w:val="single" w:color="CCCCCC" w:sz="6"/>
              <w:right w:val="single" w:color="CCCCCC" w:sz="6"/>
            </w:tcBorders>
            <w:shd w:fill="D4EDDA" w:val="clear"/>
            <w:tcMar>
              <w:top w:type="dxa" w:w="80"/>
              <w:left w:type="dxa" w:w="110"/>
              <w:bottom w:type="dxa" w:w="80"/>
              <w:right w:type="dxa" w:w="110"/>
            </w:tcMar>
          </w:tcPr>
          <w:p>
            <w:pPr>
              <w:jc w:val="center"/>
            </w:pPr>
            <w:r>
              <w:rPr>
                <w:rFonts w:ascii="Arial" w:cs="Arial" w:eastAsia="Arial" w:hAnsi="Arial"/>
                <w:sz w:val="21"/>
                <w:szCs w:val="21"/>
              </w:rPr>
              <w:t xml:space="preserve">72</w:t>
            </w:r>
          </w:p>
        </w:tc>
        <w:tc>
          <w:tcPr>
            <w:tcW w:type="dxa" w:w="4260"/>
            <w:tcBorders>
              <w:top w:val="single" w:color="CCCCCC" w:sz="6"/>
              <w:left w:val="single" w:color="CCCCCC" w:sz="6"/>
              <w:bottom w:val="single" w:color="CCCCCC" w:sz="6"/>
              <w:right w:val="single" w:color="CCCCCC" w:sz="6"/>
            </w:tcBorders>
            <w:shd w:fill="D4EDDA" w:val="clear"/>
            <w:tcMar>
              <w:top w:type="dxa" w:w="80"/>
              <w:left w:type="dxa" w:w="110"/>
              <w:bottom w:type="dxa" w:w="80"/>
              <w:right w:type="dxa" w:w="110"/>
            </w:tcMar>
          </w:tcPr>
          <w:p>
            <w:r>
              <w:rPr>
                <w:rFonts w:ascii="Arial" w:cs="Arial" w:eastAsia="Arial" w:hAnsi="Arial"/>
                <w:b w:val="false"/>
                <w:bCs w:val="false"/>
                <w:color w:val="1F3864"/>
                <w:sz w:val="21"/>
                <w:szCs w:val="21"/>
              </w:rPr>
              <w:t xml:space="preserve">74% — strongest tier</w:t>
            </w:r>
          </w:p>
        </w:tc>
      </w:tr>
      <w:tr>
        <w:tc>
          <w:tcPr>
            <w:tcW w:type="dxa" w:w="15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Score 6</w:t>
            </w:r>
          </w:p>
        </w:tc>
        <w:tc>
          <w:tcPr>
            <w:tcW w:type="dxa" w:w="1800"/>
            <w:tcBorders>
              <w:top w:val="single" w:color="CCCCCC" w:sz="6"/>
              <w:left w:val="single" w:color="CCCCCC" w:sz="6"/>
              <w:bottom w:val="single" w:color="CCCCCC" w:sz="6"/>
              <w:right w:val="single" w:color="CCCCCC" w:sz="6"/>
            </w:tcBorders>
            <w:shd w:fill="FEF3C7" w:val="clear"/>
            <w:tcMar>
              <w:top w:type="dxa" w:w="80"/>
              <w:left w:type="dxa" w:w="110"/>
              <w:bottom w:type="dxa" w:w="80"/>
              <w:right w:type="dxa" w:w="110"/>
            </w:tcMar>
          </w:tcPr>
          <w:p>
            <w:pPr>
              <w:jc w:val="center"/>
            </w:pPr>
            <w:r>
              <w:rPr>
                <w:rFonts w:ascii="Arial" w:cs="Arial" w:eastAsia="Arial" w:hAnsi="Arial"/>
                <w:sz w:val="21"/>
                <w:szCs w:val="21"/>
              </w:rPr>
              <w:t xml:space="preserve">33</w:t>
            </w:r>
          </w:p>
        </w:tc>
        <w:tc>
          <w:tcPr>
            <w:tcW w:type="dxa" w:w="1800"/>
            <w:tcBorders>
              <w:top w:val="single" w:color="CCCCCC" w:sz="6"/>
              <w:left w:val="single" w:color="CCCCCC" w:sz="6"/>
              <w:bottom w:val="single" w:color="CCCCCC" w:sz="6"/>
              <w:right w:val="single" w:color="CCCCCC" w:sz="6"/>
            </w:tcBorders>
            <w:shd w:fill="FEF3C7" w:val="clear"/>
            <w:tcMar>
              <w:top w:type="dxa" w:w="80"/>
              <w:left w:type="dxa" w:w="110"/>
              <w:bottom w:type="dxa" w:w="80"/>
              <w:right w:type="dxa" w:w="110"/>
            </w:tcMar>
          </w:tcPr>
          <w:p>
            <w:pPr>
              <w:jc w:val="center"/>
            </w:pPr>
            <w:r>
              <w:rPr>
                <w:rFonts w:ascii="Arial" w:cs="Arial" w:eastAsia="Arial" w:hAnsi="Arial"/>
                <w:sz w:val="21"/>
                <w:szCs w:val="21"/>
              </w:rPr>
              <w:t xml:space="preserve">61</w:t>
            </w:r>
          </w:p>
        </w:tc>
        <w:tc>
          <w:tcPr>
            <w:tcW w:type="dxa" w:w="4260"/>
            <w:tcBorders>
              <w:top w:val="single" w:color="CCCCCC" w:sz="6"/>
              <w:left w:val="single" w:color="CCCCCC" w:sz="6"/>
              <w:bottom w:val="single" w:color="CCCCCC" w:sz="6"/>
              <w:right w:val="single" w:color="CCCCCC" w:sz="6"/>
            </w:tcBorders>
            <w:shd w:fill="FEF3C7" w:val="clear"/>
            <w:tcMar>
              <w:top w:type="dxa" w:w="80"/>
              <w:left w:type="dxa" w:w="110"/>
              <w:bottom w:type="dxa" w:w="80"/>
              <w:right w:type="dxa" w:w="110"/>
            </w:tcMar>
          </w:tcPr>
          <w:p>
            <w:r>
              <w:rPr>
                <w:rFonts w:ascii="Arial" w:cs="Arial" w:eastAsia="Arial" w:hAnsi="Arial"/>
                <w:b w:val="false"/>
                <w:bCs w:val="false"/>
                <w:color w:val="1F3864"/>
                <w:sz w:val="21"/>
                <w:szCs w:val="21"/>
              </w:rPr>
              <w:t xml:space="preserve">54%</w:t>
            </w:r>
          </w:p>
        </w:tc>
      </w:tr>
      <w:tr>
        <w:tc>
          <w:tcPr>
            <w:tcW w:type="dxa" w:w="15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Score 5</w:t>
            </w:r>
          </w:p>
        </w:tc>
        <w:tc>
          <w:tcPr>
            <w:tcW w:type="dxa" w:w="1800"/>
            <w:tcBorders>
              <w:top w:val="single" w:color="CCCCCC" w:sz="6"/>
              <w:left w:val="single" w:color="CCCCCC" w:sz="6"/>
              <w:bottom w:val="single" w:color="CCCCCC" w:sz="6"/>
              <w:right w:val="single" w:color="CCCCCC" w:sz="6"/>
            </w:tcBorders>
            <w:shd w:fill="FEF3C7" w:val="clear"/>
            <w:tcMar>
              <w:top w:type="dxa" w:w="80"/>
              <w:left w:type="dxa" w:w="110"/>
              <w:bottom w:type="dxa" w:w="80"/>
              <w:right w:type="dxa" w:w="110"/>
            </w:tcMar>
          </w:tcPr>
          <w:p>
            <w:pPr>
              <w:jc w:val="center"/>
            </w:pPr>
            <w:r>
              <w:rPr>
                <w:rFonts w:ascii="Arial" w:cs="Arial" w:eastAsia="Arial" w:hAnsi="Arial"/>
                <w:sz w:val="21"/>
                <w:szCs w:val="21"/>
              </w:rPr>
              <w:t xml:space="preserve">29</w:t>
            </w:r>
          </w:p>
        </w:tc>
        <w:tc>
          <w:tcPr>
            <w:tcW w:type="dxa" w:w="1800"/>
            <w:tcBorders>
              <w:top w:val="single" w:color="CCCCCC" w:sz="6"/>
              <w:left w:val="single" w:color="CCCCCC" w:sz="6"/>
              <w:bottom w:val="single" w:color="CCCCCC" w:sz="6"/>
              <w:right w:val="single" w:color="CCCCCC" w:sz="6"/>
            </w:tcBorders>
            <w:shd w:fill="FEF3C7" w:val="clear"/>
            <w:tcMar>
              <w:top w:type="dxa" w:w="80"/>
              <w:left w:type="dxa" w:w="110"/>
              <w:bottom w:type="dxa" w:w="80"/>
              <w:right w:type="dxa" w:w="110"/>
            </w:tcMar>
          </w:tcPr>
          <w:p>
            <w:pPr>
              <w:jc w:val="center"/>
            </w:pPr>
            <w:r>
              <w:rPr>
                <w:rFonts w:ascii="Arial" w:cs="Arial" w:eastAsia="Arial" w:hAnsi="Arial"/>
                <w:sz w:val="21"/>
                <w:szCs w:val="21"/>
              </w:rPr>
              <w:t xml:space="preserve">58</w:t>
            </w:r>
          </w:p>
        </w:tc>
        <w:tc>
          <w:tcPr>
            <w:tcW w:type="dxa" w:w="4260"/>
            <w:tcBorders>
              <w:top w:val="single" w:color="CCCCCC" w:sz="6"/>
              <w:left w:val="single" w:color="CCCCCC" w:sz="6"/>
              <w:bottom w:val="single" w:color="CCCCCC" w:sz="6"/>
              <w:right w:val="single" w:color="CCCCCC" w:sz="6"/>
            </w:tcBorders>
            <w:shd w:fill="FEF3C7" w:val="clear"/>
            <w:tcMar>
              <w:top w:type="dxa" w:w="80"/>
              <w:left w:type="dxa" w:w="110"/>
              <w:bottom w:type="dxa" w:w="80"/>
              <w:right w:type="dxa" w:w="110"/>
            </w:tcMar>
          </w:tcPr>
          <w:p>
            <w:r>
              <w:rPr>
                <w:rFonts w:ascii="Arial" w:cs="Arial" w:eastAsia="Arial" w:hAnsi="Arial"/>
                <w:b w:val="false"/>
                <w:bCs w:val="false"/>
                <w:color w:val="1F3864"/>
                <w:sz w:val="21"/>
                <w:szCs w:val="21"/>
              </w:rPr>
              <w:t xml:space="preserve">50%</w:t>
            </w:r>
          </w:p>
        </w:tc>
      </w:tr>
      <w:tr>
        <w:tc>
          <w:tcPr>
            <w:tcW w:type="dxa" w:w="15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Score 4</w:t>
            </w:r>
          </w:p>
        </w:tc>
        <w:tc>
          <w:tcPr>
            <w:tcW w:type="dxa" w:w="1800"/>
            <w:tcBorders>
              <w:top w:val="single" w:color="CCCCCC" w:sz="6"/>
              <w:left w:val="single" w:color="CCCCCC" w:sz="6"/>
              <w:bottom w:val="single" w:color="CCCCCC" w:sz="6"/>
              <w:right w:val="single" w:color="CCCCCC" w:sz="6"/>
            </w:tcBorders>
            <w:shd w:fill="FEF3C7" w:val="clear"/>
            <w:tcMar>
              <w:top w:type="dxa" w:w="80"/>
              <w:left w:type="dxa" w:w="110"/>
              <w:bottom w:type="dxa" w:w="80"/>
              <w:right w:type="dxa" w:w="110"/>
            </w:tcMar>
          </w:tcPr>
          <w:p>
            <w:pPr>
              <w:jc w:val="center"/>
            </w:pPr>
            <w:r>
              <w:rPr>
                <w:rFonts w:ascii="Arial" w:cs="Arial" w:eastAsia="Arial" w:hAnsi="Arial"/>
                <w:sz w:val="21"/>
                <w:szCs w:val="21"/>
              </w:rPr>
              <w:t xml:space="preserve">27</w:t>
            </w:r>
          </w:p>
        </w:tc>
        <w:tc>
          <w:tcPr>
            <w:tcW w:type="dxa" w:w="1800"/>
            <w:tcBorders>
              <w:top w:val="single" w:color="CCCCCC" w:sz="6"/>
              <w:left w:val="single" w:color="CCCCCC" w:sz="6"/>
              <w:bottom w:val="single" w:color="CCCCCC" w:sz="6"/>
              <w:right w:val="single" w:color="CCCCCC" w:sz="6"/>
            </w:tcBorders>
            <w:shd w:fill="FEF3C7" w:val="clear"/>
            <w:tcMar>
              <w:top w:type="dxa" w:w="80"/>
              <w:left w:type="dxa" w:w="110"/>
              <w:bottom w:type="dxa" w:w="80"/>
              <w:right w:type="dxa" w:w="110"/>
            </w:tcMar>
          </w:tcPr>
          <w:p>
            <w:pPr>
              <w:jc w:val="center"/>
            </w:pPr>
            <w:r>
              <w:rPr>
                <w:rFonts w:ascii="Arial" w:cs="Arial" w:eastAsia="Arial" w:hAnsi="Arial"/>
                <w:sz w:val="21"/>
                <w:szCs w:val="21"/>
              </w:rPr>
              <w:t xml:space="preserve">67</w:t>
            </w:r>
          </w:p>
        </w:tc>
        <w:tc>
          <w:tcPr>
            <w:tcW w:type="dxa" w:w="4260"/>
            <w:tcBorders>
              <w:top w:val="single" w:color="CCCCCC" w:sz="6"/>
              <w:left w:val="single" w:color="CCCCCC" w:sz="6"/>
              <w:bottom w:val="single" w:color="CCCCCC" w:sz="6"/>
              <w:right w:val="single" w:color="CCCCCC" w:sz="6"/>
            </w:tcBorders>
            <w:shd w:fill="FEF3C7" w:val="clear"/>
            <w:tcMar>
              <w:top w:type="dxa" w:w="80"/>
              <w:left w:type="dxa" w:w="110"/>
              <w:bottom w:type="dxa" w:w="80"/>
              <w:right w:type="dxa" w:w="110"/>
            </w:tcMar>
          </w:tcPr>
          <w:p>
            <w:r>
              <w:rPr>
                <w:rFonts w:ascii="Arial" w:cs="Arial" w:eastAsia="Arial" w:hAnsi="Arial"/>
                <w:b w:val="false"/>
                <w:bCs w:val="false"/>
                <w:color w:val="1F3864"/>
                <w:sz w:val="21"/>
                <w:szCs w:val="21"/>
              </w:rPr>
              <w:t xml:space="preserve">40%</w:t>
            </w:r>
          </w:p>
        </w:tc>
      </w:tr>
      <w:tr>
        <w:tc>
          <w:tcPr>
            <w:tcW w:type="dxa" w:w="15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bCs/>
                <w:color w:val="1F3864"/>
                <w:sz w:val="21"/>
                <w:szCs w:val="21"/>
              </w:rPr>
              <w:t xml:space="preserve">Score 3</w:t>
            </w:r>
          </w:p>
        </w:tc>
        <w:tc>
          <w:tcPr>
            <w:tcW w:type="dxa" w:w="18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sz w:val="21"/>
                <w:szCs w:val="21"/>
              </w:rPr>
              <w:t xml:space="preserve">22</w:t>
            </w:r>
          </w:p>
        </w:tc>
        <w:tc>
          <w:tcPr>
            <w:tcW w:type="dxa" w:w="18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sz w:val="21"/>
                <w:szCs w:val="21"/>
              </w:rPr>
              <w:t xml:space="preserve">61</w:t>
            </w:r>
          </w:p>
        </w:tc>
        <w:tc>
          <w:tcPr>
            <w:tcW w:type="dxa" w:w="42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b w:val="false"/>
                <w:bCs w:val="false"/>
                <w:color w:val="1F3864"/>
                <w:sz w:val="21"/>
                <w:szCs w:val="21"/>
              </w:rPr>
              <w:t xml:space="preserve">36%</w:t>
            </w:r>
          </w:p>
        </w:tc>
      </w:tr>
      <w:tr>
        <w:tc>
          <w:tcPr>
            <w:tcW w:type="dxa" w:w="1500"/>
            <w:tcBorders>
              <w:top w:val="single" w:color="CCCCCC" w:sz="6"/>
              <w:left w:val="single" w:color="CCCCCC" w:sz="6"/>
              <w:bottom w:val="single" w:color="CCCCCC" w:sz="6"/>
              <w:right w:val="single" w:color="CCCCCC" w:sz="6"/>
            </w:tcBorders>
            <w:shd w:fill="C0392B" w:val="clear"/>
            <w:tcMar>
              <w:top w:type="dxa" w:w="80"/>
              <w:left w:type="dxa" w:w="110"/>
              <w:bottom w:type="dxa" w:w="80"/>
              <w:right w:type="dxa" w:w="110"/>
            </w:tcMar>
          </w:tcPr>
          <w:p>
            <w:r>
              <w:rPr>
                <w:rFonts w:ascii="Arial" w:cs="Arial" w:eastAsia="Arial" w:hAnsi="Arial"/>
                <w:b/>
                <w:bCs/>
                <w:color w:val="FFFFFF"/>
                <w:sz w:val="21"/>
                <w:szCs w:val="21"/>
              </w:rPr>
              <w:t xml:space="preserve">Score 1 ← main weakness</w:t>
            </w:r>
          </w:p>
        </w:tc>
        <w:tc>
          <w:tcPr>
            <w:tcW w:type="dxa" w:w="1800"/>
            <w:tcBorders>
              <w:top w:val="single" w:color="CCCCCC" w:sz="6"/>
              <w:left w:val="single" w:color="CCCCCC" w:sz="6"/>
              <w:bottom w:val="single" w:color="CCCCCC" w:sz="6"/>
              <w:right w:val="single" w:color="CCCCCC" w:sz="6"/>
            </w:tcBorders>
            <w:shd w:fill="FCE8E6" w:val="clear"/>
            <w:tcMar>
              <w:top w:type="dxa" w:w="80"/>
              <w:left w:type="dxa" w:w="110"/>
              <w:bottom w:type="dxa" w:w="80"/>
              <w:right w:type="dxa" w:w="110"/>
            </w:tcMar>
          </w:tcPr>
          <w:p>
            <w:pPr>
              <w:jc w:val="center"/>
            </w:pPr>
            <w:r>
              <w:rPr>
                <w:rFonts w:ascii="Arial" w:cs="Arial" w:eastAsia="Arial" w:hAnsi="Arial"/>
                <w:sz w:val="21"/>
                <w:szCs w:val="21"/>
              </w:rPr>
              <w:t xml:space="preserve">3</w:t>
            </w:r>
          </w:p>
        </w:tc>
        <w:tc>
          <w:tcPr>
            <w:tcW w:type="dxa" w:w="1800"/>
            <w:tcBorders>
              <w:top w:val="single" w:color="CCCCCC" w:sz="6"/>
              <w:left w:val="single" w:color="CCCCCC" w:sz="6"/>
              <w:bottom w:val="single" w:color="CCCCCC" w:sz="6"/>
              <w:right w:val="single" w:color="CCCCCC" w:sz="6"/>
            </w:tcBorders>
            <w:shd w:fill="FCE8E6" w:val="clear"/>
            <w:tcMar>
              <w:top w:type="dxa" w:w="80"/>
              <w:left w:type="dxa" w:w="110"/>
              <w:bottom w:type="dxa" w:w="80"/>
              <w:right w:type="dxa" w:w="110"/>
            </w:tcMar>
          </w:tcPr>
          <w:p>
            <w:pPr>
              <w:jc w:val="center"/>
            </w:pPr>
            <w:r>
              <w:rPr>
                <w:rFonts w:ascii="Arial" w:cs="Arial" w:eastAsia="Arial" w:hAnsi="Arial"/>
                <w:sz w:val="21"/>
                <w:szCs w:val="21"/>
              </w:rPr>
              <w:t xml:space="preserve">60</w:t>
            </w:r>
          </w:p>
        </w:tc>
        <w:tc>
          <w:tcPr>
            <w:tcW w:type="dxa" w:w="4260"/>
            <w:tcBorders>
              <w:top w:val="single" w:color="CCCCCC" w:sz="6"/>
              <w:left w:val="single" w:color="CCCCCC" w:sz="6"/>
              <w:bottom w:val="single" w:color="CCCCCC" w:sz="6"/>
              <w:right w:val="single" w:color="CCCCCC" w:sz="6"/>
            </w:tcBorders>
            <w:shd w:fill="FCE8E6" w:val="clear"/>
            <w:tcMar>
              <w:top w:type="dxa" w:w="80"/>
              <w:left w:type="dxa" w:w="110"/>
              <w:bottom w:type="dxa" w:w="80"/>
              <w:right w:type="dxa" w:w="110"/>
            </w:tcMar>
          </w:tcPr>
          <w:p>
            <w:r>
              <w:rPr>
                <w:rFonts w:ascii="Arial" w:cs="Arial" w:eastAsia="Arial" w:hAnsi="Arial"/>
                <w:b/>
                <w:bCs/>
                <w:color w:val="C0392B"/>
                <w:sz w:val="21"/>
                <w:szCs w:val="21"/>
              </w:rPr>
              <w:t xml:space="preserve">5% — model predicts 2 for almost all score-1 essays</w:t>
            </w:r>
          </w:p>
        </w:tc>
      </w:tr>
    </w:tbl>
    <w:p>
      <w:pPr>
        <w:spacing w:after="0" w:before="0"/>
      </w:pPr>
      <w:r>
        <w:t xml:space="preserve"/>
      </w:r>
    </w:p>
    <w:p>
      <w:pPr>
        <w:spacing w:after="60" w:before="60"/>
      </w:pPr>
      <w:r>
        <w:rPr>
          <w:rFonts w:ascii="Arial" w:cs="Arial" w:eastAsia="Arial" w:hAnsi="Arial"/>
          <w:sz w:val="22"/>
          <w:szCs w:val="22"/>
        </w:rPr>
        <w:t xml:space="preserve">The model completely fails on score 1 — the lowest quality essays — predicting them as score 2 almost universally. This is the starkest manifestation of the leniency bias.</w:t>
      </w:r>
    </w:p>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6. Why This Result is Significant</w:t>
      </w:r>
    </w:p>
    <w:p>
      <w:pPr>
        <w:spacing w:after="60" w:before="60"/>
      </w:pPr>
      <w:r>
        <w:rPr>
          <w:rFonts w:ascii="Arial" w:cs="Arial" w:eastAsia="Arial" w:hAnsi="Arial"/>
          <w:sz w:val="22"/>
          <w:szCs w:val="22"/>
        </w:rPr>
        <w:t xml:space="preserve">Three reasons QWK 0.512 matters despite not yet reaching human-level agreement:</w:t>
      </w:r>
    </w:p>
    <w:p>
      <w:pPr>
        <w:spacing w:after="0" w:before="0"/>
      </w:pPr>
      <w:r>
        <w:t xml:space="preserve"/>
      </w:r>
    </w:p>
    <w:p>
      <w:pPr>
        <w:pStyle w:val="Heading2"/>
        <w:spacing w:after="100" w:before="240"/>
      </w:pPr>
      <w:r>
        <w:rPr>
          <w:rFonts w:ascii="Arial" w:cs="Arial" w:eastAsia="Arial" w:hAnsi="Arial"/>
          <w:b/>
          <w:bCs/>
          <w:color w:val="2E75B6"/>
          <w:sz w:val="28"/>
          <w:szCs w:val="28"/>
        </w:rPr>
        <w:t xml:space="preserve">A. Extremely Limited Parameter Budget</w:t>
      </w:r>
    </w:p>
    <w:p>
      <w:pPr>
        <w:spacing w:after="60" w:before="60"/>
      </w:pPr>
      <w:r>
        <w:rPr>
          <w:rFonts w:ascii="Arial" w:cs="Arial" w:eastAsia="Arial" w:hAnsi="Arial"/>
          <w:sz w:val="22"/>
          <w:szCs w:val="22"/>
        </w:rPr>
        <w:t xml:space="preserve">At 8 billion parameters, llama3.1:8b is approximately 9x smaller than what commercial AES systems typically use. Achieving moderate agreement at this scale validates the multi-agent architecture itself — the performance is a product of the pipeline design, not raw model size.</w:t>
      </w:r>
    </w:p>
    <w:p>
      <w:pPr>
        <w:spacing w:after="0" w:before="0"/>
      </w:pPr>
      <w:r>
        <w:t xml:space="preserve"/>
      </w:r>
    </w:p>
    <w:p>
      <w:pPr>
        <w:pStyle w:val="Heading2"/>
        <w:spacing w:after="100" w:before="240"/>
      </w:pPr>
      <w:r>
        <w:rPr>
          <w:rFonts w:ascii="Arial" w:cs="Arial" w:eastAsia="Arial" w:hAnsi="Arial"/>
          <w:b/>
          <w:bCs/>
          <w:color w:val="2E75B6"/>
          <w:sz w:val="28"/>
          <w:szCs w:val="28"/>
        </w:rPr>
        <w:t xml:space="preserve">B. Fully Local and Free</w:t>
      </w:r>
    </w:p>
    <w:p>
      <w:pPr>
        <w:spacing w:after="60" w:before="60"/>
      </w:pPr>
      <w:r>
        <w:rPr>
          <w:rFonts w:ascii="Arial" w:cs="Arial" w:eastAsia="Arial" w:hAnsi="Arial"/>
          <w:sz w:val="22"/>
          <w:szCs w:val="22"/>
        </w:rPr>
        <w:t xml:space="preserve">No API costs. No data leaving the machine. No internet required. No rate limits. This pipeline runs entirely on commodity hardware (any machine with a GPU). This is a privacy-preserving AES system that any institution — including those in resource-constrained or data-sensitive settings — can deploy at zero marginal cost.</w:t>
      </w:r>
    </w:p>
    <w:p>
      <w:pPr>
        <w:spacing w:after="0" w:before="0"/>
      </w:pPr>
      <w:r>
        <w:t xml:space="preserve"/>
      </w:r>
    </w:p>
    <w:p>
      <w:pPr>
        <w:pStyle w:val="Heading2"/>
        <w:spacing w:after="100" w:before="240"/>
      </w:pPr>
      <w:r>
        <w:rPr>
          <w:rFonts w:ascii="Arial" w:cs="Arial" w:eastAsia="Arial" w:hAnsi="Arial"/>
          <w:b/>
          <w:bCs/>
          <w:color w:val="2E75B6"/>
          <w:sz w:val="28"/>
          <w:szCs w:val="28"/>
        </w:rPr>
        <w:t xml:space="preserve">C. Architecture Separates Scoring from Evidence</w:t>
      </w:r>
    </w:p>
    <w:p>
      <w:pPr>
        <w:spacing w:after="60" w:before="60"/>
      </w:pPr>
      <w:r>
        <w:rPr>
          <w:rFonts w:ascii="Arial" w:cs="Arial" w:eastAsia="Arial" w:hAnsi="Arial"/>
          <w:sz w:val="22"/>
          <w:szCs w:val="22"/>
        </w:rPr>
        <w:t xml:space="preserve">The SRCE step extracts 5 structured trait assessments (Task Response, Argument Quality, Organisation, Language &amp; Style, Grammar) before the holistic score is computed. This explainability layer is absent in most AES systems. It tells teachers and students not just the score, but why — with specific trait-level feedback grounded in extracted evidence.</w:t>
      </w:r>
    </w:p>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7. Path to Improvement</w:t>
      </w:r>
    </w:p>
    <w:p>
      <w:pPr>
        <w:spacing w:after="60" w:before="60"/>
      </w:pPr>
      <w:r>
        <w:rPr>
          <w:rFonts w:ascii="Arial" w:cs="Arial" w:eastAsia="Arial" w:hAnsi="Arial"/>
          <w:sz w:val="22"/>
          <w:szCs w:val="22"/>
        </w:rPr>
        <w:t xml:space="preserve">The roadmap from current performance to near human-level agreement follows three steps: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Approach</w:t>
            </w:r>
          </w:p>
        </w:tc>
        <w:tc>
          <w:tcPr>
            <w:tcW w:type="dxa" w:w="180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pPr>
              <w:jc w:val="center"/>
            </w:pPr>
            <w:r>
              <w:rPr>
                <w:rFonts w:ascii="Arial" w:cs="Arial" w:eastAsia="Arial" w:hAnsi="Arial"/>
                <w:b/>
                <w:bCs/>
                <w:color w:val="FFFFFF"/>
                <w:sz w:val="21"/>
                <w:szCs w:val="21"/>
              </w:rPr>
              <w:t xml:space="preserve">Expected QWK</w:t>
            </w:r>
          </w:p>
        </w:tc>
        <w:tc>
          <w:tcPr>
            <w:tcW w:type="dxa" w:w="4360"/>
            <w:tcBorders>
              <w:top w:val="single" w:color="1F3864" w:sz="6"/>
              <w:left w:val="single" w:color="1F3864" w:sz="6"/>
              <w:bottom w:val="single" w:color="1F3864" w:sz="6"/>
              <w:right w:val="single" w:color="1F3864" w:sz="6"/>
            </w:tcBorders>
            <w:shd w:fill="1F3864" w:val="clear"/>
            <w:tcMar>
              <w:top w:type="dxa" w:w="80"/>
              <w:left w:type="dxa" w:w="110"/>
              <w:bottom w:type="dxa" w:w="80"/>
              <w:right w:type="dxa" w:w="110"/>
            </w:tcMar>
          </w:tcPr>
          <w:p>
            <w:r>
              <w:rPr>
                <w:rFonts w:ascii="Arial" w:cs="Arial" w:eastAsia="Arial" w:hAnsi="Arial"/>
                <w:b/>
                <w:bCs/>
                <w:color w:val="FFFFFF"/>
                <w:sz w:val="21"/>
                <w:szCs w:val="21"/>
              </w:rPr>
              <w:t xml:space="preserve">Effort / Cost</w:t>
            </w:r>
          </w:p>
        </w:tc>
      </w:tr>
      <w:tr>
        <w:tc>
          <w:tcPr>
            <w:tcW w:type="dxa" w:w="3200"/>
            <w:tcBorders>
              <w:top w:val="single" w:color="CCCCCC" w:sz="6"/>
              <w:left w:val="single" w:color="CCCCCC" w:sz="6"/>
              <w:bottom w:val="single" w:color="CCCCCC" w:sz="6"/>
              <w:right w:val="single" w:color="CCCCCC" w:sz="6"/>
            </w:tcBorders>
            <w:shd w:fill="D1F0EB" w:val="clear"/>
            <w:tcMar>
              <w:top w:type="dxa" w:w="80"/>
              <w:left w:type="dxa" w:w="110"/>
              <w:bottom w:type="dxa" w:w="80"/>
              <w:right w:type="dxa" w:w="110"/>
            </w:tcMar>
          </w:tcPr>
          <w:p>
            <w:r>
              <w:rPr>
                <w:rFonts w:ascii="Arial" w:cs="Arial" w:eastAsia="Arial" w:hAnsi="Arial"/>
                <w:b/>
                <w:bCs/>
                <w:sz w:val="21"/>
                <w:szCs w:val="21"/>
              </w:rPr>
              <w:t xml:space="preserve">Current — 8b, zero-shot (Done)</w:t>
            </w:r>
          </w:p>
        </w:tc>
        <w:tc>
          <w:tcPr>
            <w:tcW w:type="dxa" w:w="1800"/>
            <w:tcBorders>
              <w:top w:val="single" w:color="CCCCCC" w:sz="6"/>
              <w:left w:val="single" w:color="CCCCCC" w:sz="6"/>
              <w:bottom w:val="single" w:color="CCCCCC" w:sz="6"/>
              <w:right w:val="single" w:color="CCCCCC" w:sz="6"/>
            </w:tcBorders>
            <w:shd w:fill="D1F0EB" w:val="clear"/>
            <w:tcMar>
              <w:top w:type="dxa" w:w="80"/>
              <w:left w:type="dxa" w:w="110"/>
              <w:bottom w:type="dxa" w:w="80"/>
              <w:right w:type="dxa" w:w="110"/>
            </w:tcMar>
          </w:tcPr>
          <w:p>
            <w:pPr>
              <w:jc w:val="center"/>
            </w:pPr>
            <w:r>
              <w:rPr>
                <w:rFonts w:ascii="Arial" w:cs="Arial" w:eastAsia="Arial" w:hAnsi="Arial"/>
                <w:b/>
                <w:bCs/>
                <w:color w:val="1F7A6E"/>
                <w:sz w:val="21"/>
                <w:szCs w:val="21"/>
              </w:rPr>
              <w:t xml:space="preserve">0.512</w:t>
            </w:r>
          </w:p>
        </w:tc>
        <w:tc>
          <w:tcPr>
            <w:tcW w:type="dxa" w:w="4360"/>
            <w:tcBorders>
              <w:top w:val="single" w:color="CCCCCC" w:sz="6"/>
              <w:left w:val="single" w:color="CCCCCC" w:sz="6"/>
              <w:bottom w:val="single" w:color="CCCCCC" w:sz="6"/>
              <w:right w:val="single" w:color="CCCCCC" w:sz="6"/>
            </w:tcBorders>
            <w:shd w:fill="D1F0EB" w:val="clear"/>
            <w:tcMar>
              <w:top w:type="dxa" w:w="80"/>
              <w:left w:type="dxa" w:w="110"/>
              <w:bottom w:type="dxa" w:w="80"/>
              <w:right w:type="dxa" w:w="110"/>
            </w:tcMar>
          </w:tcPr>
          <w:p>
            <w:r>
              <w:rPr>
                <w:rFonts w:ascii="Arial" w:cs="Arial" w:eastAsia="Arial" w:hAnsi="Arial"/>
                <w:sz w:val="21"/>
                <w:szCs w:val="21"/>
              </w:rPr>
              <w:t xml:space="preserve">Completed. Fully local. Free.</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val="false"/>
                <w:bCs w:val="false"/>
                <w:sz w:val="21"/>
                <w:szCs w:val="21"/>
              </w:rPr>
              <w:t xml:space="preserve">Larger model — 70b, zero-shot</w:t>
            </w:r>
          </w:p>
        </w:tc>
        <w:tc>
          <w:tcPr>
            <w:tcW w:type="dxa" w:w="18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b/>
                <w:bCs/>
                <w:color w:val="B45309"/>
                <w:sz w:val="21"/>
                <w:szCs w:val="21"/>
              </w:rPr>
              <w:t xml:space="preserve">~0.65</w:t>
            </w:r>
          </w:p>
        </w:tc>
        <w:tc>
          <w:tcPr>
            <w:tcW w:type="dxa" w:w="43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High compute cost. Same pipeline, larger model.</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val="false"/>
                <w:bCs w:val="false"/>
                <w:sz w:val="21"/>
                <w:szCs w:val="21"/>
              </w:rPr>
              <w:t xml:space="preserve">Fine-tuned 8b with LoRA on ASAP-2</w:t>
            </w:r>
          </w:p>
        </w:tc>
        <w:tc>
          <w:tcPr>
            <w:tcW w:type="dxa" w:w="18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b/>
                <w:bCs/>
                <w:color w:val="B45309"/>
                <w:sz w:val="21"/>
                <w:szCs w:val="21"/>
              </w:rPr>
              <w:t xml:space="preserve">~0.72 – 0.78</w:t>
            </w:r>
          </w:p>
        </w:tc>
        <w:tc>
          <w:tcPr>
            <w:tcW w:type="dxa" w:w="43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2–3 days training. Free on Kaggle GPU. 24k essays available.</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10"/>
              <w:bottom w:type="dxa" w:w="80"/>
              <w:right w:type="dxa" w:w="110"/>
            </w:tcMar>
          </w:tcPr>
          <w:p>
            <w:r>
              <w:rPr>
                <w:rFonts w:ascii="Arial" w:cs="Arial" w:eastAsia="Arial" w:hAnsi="Arial"/>
                <w:b w:val="false"/>
                <w:bCs w:val="false"/>
                <w:sz w:val="21"/>
                <w:szCs w:val="21"/>
              </w:rPr>
              <w:t xml:space="preserve">Fine-tuned 8b + score calibration</w:t>
            </w:r>
          </w:p>
        </w:tc>
        <w:tc>
          <w:tcPr>
            <w:tcW w:type="dxa" w:w="180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pPr>
              <w:jc w:val="center"/>
            </w:pPr>
            <w:r>
              <w:rPr>
                <w:rFonts w:ascii="Arial" w:cs="Arial" w:eastAsia="Arial" w:hAnsi="Arial"/>
                <w:b/>
                <w:bCs/>
                <w:color w:val="B45309"/>
                <w:sz w:val="21"/>
                <w:szCs w:val="21"/>
              </w:rPr>
              <w:t xml:space="preserve">~0.78 – 0.82</w:t>
            </w:r>
          </w:p>
        </w:tc>
        <w:tc>
          <w:tcPr>
            <w:tcW w:type="dxa" w:w="4360"/>
            <w:tcBorders>
              <w:top w:val="single" w:color="CCCCCC" w:sz="6"/>
              <w:left w:val="single" w:color="CCCCCC" w:sz="6"/>
              <w:bottom w:val="single" w:color="CCCCCC" w:sz="6"/>
              <w:right w:val="single" w:color="CCCCCC" w:sz="6"/>
            </w:tcBorders>
            <w:shd w:fill="FFFFFF" w:val="clear"/>
            <w:tcMar>
              <w:top w:type="dxa" w:w="80"/>
              <w:left w:type="dxa" w:w="110"/>
              <w:bottom w:type="dxa" w:w="80"/>
              <w:right w:type="dxa" w:w="110"/>
            </w:tcMar>
          </w:tcPr>
          <w:p>
            <w:r>
              <w:rPr>
                <w:rFonts w:ascii="Arial" w:cs="Arial" w:eastAsia="Arial" w:hAnsi="Arial"/>
                <w:sz w:val="21"/>
                <w:szCs w:val="21"/>
              </w:rPr>
              <w:t xml:space="preserve">Near human-level agreement. Same hardware.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6E" w:sz="6"/>
              <w:left w:val="single" w:color="1F7A6E" w:sz="6"/>
              <w:bottom w:val="single" w:color="1F7A6E" w:sz="6"/>
              <w:right w:val="single" w:color="1F7A6E" w:sz="6"/>
            </w:tcBorders>
            <w:shd w:fill="D1F0EB" w:val="clear"/>
            <w:tcMar>
              <w:top w:type="dxa" w:w="100"/>
              <w:left w:type="dxa" w:w="140"/>
              <w:bottom w:type="dxa" w:w="100"/>
              <w:right w:type="dxa" w:w="140"/>
            </w:tcMar>
          </w:tcPr>
          <w:p>
            <w:pPr>
              <w:spacing w:after="60" w:before="0"/>
            </w:pPr>
            <w:r>
              <w:rPr>
                <w:rFonts w:ascii="Arial" w:cs="Arial" w:eastAsia="Arial" w:hAnsi="Arial"/>
                <w:b/>
                <w:bCs/>
                <w:color w:val="1F7A6E"/>
                <w:sz w:val="22"/>
                <w:szCs w:val="22"/>
              </w:rPr>
              <w:t xml:space="preserve">Fine-tuning is the clear and natural next step.</w:t>
            </w:r>
          </w:p>
          <w:p>
            <w:pPr>
              <w:spacing w:after="0" w:before="0"/>
            </w:pPr>
            <w:r>
              <w:rPr>
                <w:rFonts w:ascii="Arial" w:cs="Arial" w:eastAsia="Arial" w:hAnsi="Arial"/>
                <w:sz w:val="22"/>
                <w:szCs w:val="22"/>
              </w:rPr>
              <w:t xml:space="preserve">Same architecture. Same hardware. Same cost. Teaching the model the ASAP-2 rubric through LoRA fine-tuning on the available 24,000 essay dataset would directly address score compression — the model learns the actual score distribution and stops hedging toward the middle. Conservative estimate pushes QWK above 0.75, approaching human-level inter-rater agreement.</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8.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tcPr>
          <w:p>
            <w:pPr>
              <w:spacing w:after="60" w:before="0"/>
            </w:pPr>
            <w:r>
              <w:rPr>
                <w:rFonts w:ascii="Arial" w:cs="Arial" w:eastAsia="Arial" w:hAnsi="Arial"/>
                <w:b/>
                <w:bCs/>
                <w:color w:val="1F3864"/>
                <w:sz w:val="22"/>
                <w:szCs w:val="22"/>
              </w:rPr>
              <w:t xml:space="preserve">What was built:</w:t>
            </w:r>
          </w:p>
          <w:p>
            <w:pPr>
              <w:spacing w:after="80" w:before="0"/>
            </w:pPr>
            <w:r>
              <w:rPr>
                <w:rFonts w:ascii="Arial" w:cs="Arial" w:eastAsia="Arial" w:hAnsi="Arial"/>
                <w:sz w:val="22"/>
                <w:szCs w:val="22"/>
              </w:rPr>
              <w:t xml:space="preserve">A fully local, zero-shot, explainable Automated Essay Scoring system using a hybrid multi-agent architecture (MAGIC + SRCE) running on an 8B parameter model via Ollama on free Kaggle GPU infrastructure.</w:t>
            </w:r>
          </w:p>
          <w:p>
            <w:pPr>
              <w:spacing w:after="60" w:before="0"/>
            </w:pPr>
            <w:r>
              <w:rPr>
                <w:rFonts w:ascii="Arial" w:cs="Arial" w:eastAsia="Arial" w:hAnsi="Arial"/>
                <w:b/>
                <w:bCs/>
                <w:color w:val="1F3864"/>
                <w:sz w:val="22"/>
                <w:szCs w:val="22"/>
              </w:rPr>
              <w:t xml:space="preserve">What was achieved:</w:t>
            </w:r>
          </w:p>
          <w:p>
            <w:pPr>
              <w:spacing w:after="80" w:before="0"/>
            </w:pPr>
            <w:r>
              <w:rPr>
                <w:rFonts w:ascii="Arial" w:cs="Arial" w:eastAsia="Arial" w:hAnsi="Arial"/>
                <w:b/>
                <w:bCs/>
                <w:color w:val="1F7A6E"/>
                <w:sz w:val="22"/>
                <w:szCs w:val="22"/>
              </w:rPr>
              <w:t xml:space="preserve">QWK = 0.512  ·  Pearson r = 0.619  ·  MAE = 1.087  ·  ±1 Accuracy = 71.2%  ·  N = 379 essays</w:t>
            </w:r>
          </w:p>
          <w:p>
            <w:pPr>
              <w:spacing w:after="60" w:before="0"/>
            </w:pPr>
            <w:r>
              <w:rPr>
                <w:rFonts w:ascii="Arial" w:cs="Arial" w:eastAsia="Arial" w:hAnsi="Arial"/>
                <w:b/>
                <w:bCs/>
                <w:color w:val="1F3864"/>
                <w:sz w:val="22"/>
                <w:szCs w:val="22"/>
              </w:rPr>
              <w:t xml:space="preserve">Primary limitation:</w:t>
            </w:r>
          </w:p>
          <w:p>
            <w:pPr>
              <w:spacing w:after="80" w:before="0"/>
            </w:pPr>
            <w:r>
              <w:rPr>
                <w:rFonts w:ascii="Arial" w:cs="Arial" w:eastAsia="Arial" w:hAnsi="Arial"/>
                <w:sz w:val="22"/>
                <w:szCs w:val="22"/>
              </w:rPr>
              <w:t xml:space="preserve">Score compression at extremes — a known behavior of small instruction-tuned models. Score 1 essays are predicted as 2 in 80% of cases. This directly suppresses QWK below the model's actual ranking capability.</w:t>
            </w:r>
          </w:p>
          <w:p>
            <w:pPr>
              <w:spacing w:after="60" w:before="0"/>
            </w:pPr>
            <w:r>
              <w:rPr>
                <w:rFonts w:ascii="Arial" w:cs="Arial" w:eastAsia="Arial" w:hAnsi="Arial"/>
                <w:b/>
                <w:bCs/>
                <w:color w:val="1F3864"/>
                <w:sz w:val="22"/>
                <w:szCs w:val="22"/>
              </w:rPr>
              <w:t xml:space="preserve">Natural next step:</w:t>
            </w:r>
          </w:p>
          <w:p>
            <w:pPr>
              <w:spacing w:after="0" w:before="0"/>
            </w:pPr>
            <w:r>
              <w:rPr>
                <w:rFonts w:ascii="Arial" w:cs="Arial" w:eastAsia="Arial" w:hAnsi="Arial"/>
                <w:sz w:val="22"/>
                <w:szCs w:val="22"/>
              </w:rPr>
              <w:t xml:space="preserve">LoRA fine-tuning on the 24,000-essay ASAP-2 dataset using Kaggle free GPU. Same architecture, same hardware, same cost. Expected QWK &gt; 0.75 — approaching human-level inter-rater agreement.</w:t>
            </w:r>
          </w:p>
        </w:tc>
      </w:tr>
    </w:tbl>
    <w:p>
      <w:pPr>
        <w:spacing w:after="0" w:before="0"/>
      </w:pPr>
      <w:r>
        <w:t xml:space="preserve"/>
      </w:r>
    </w:p>
    <w:p>
      <w:pPr>
        <w:spacing w:after="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Hybrid MAGIC+SRCE — Performance Analysis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2026-06-15T20:30:27.896Z</dcterms:created>
  <dcterms:modified xsi:type="dcterms:W3CDTF">2026-06-15T20:30:27.913Z</dcterms:modified>
</cp:coreProperties>
</file>

<file path=docProps/custom.xml><?xml version="1.0" encoding="utf-8"?>
<Properties xmlns="http://schemas.openxmlformats.org/officeDocument/2006/custom-properties" xmlns:vt="http://schemas.openxmlformats.org/officeDocument/2006/docPropsVTypes"/>
</file>