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0F1728"/>
          <w:sz w:val="64"/>
          <w:szCs w:val="64"/>
        </w:rPr>
        <w:t xml:space="preserve">FinWise AI</w:t>
      </w:r>
    </w:p>
    <w:p>
      <w:pPr>
        <w:spacing w:after="60"/>
        <w:jc w:val="center"/>
      </w:pPr>
      <w:r>
        <w:rPr>
          <w:color w:val="444444"/>
          <w:sz w:val="26"/>
          <w:szCs w:val="26"/>
        </w:rPr>
        <w:t xml:space="preserve">Intelligent Loan Eligibility, Credit Analysis &amp; Financial Advisory Platform</w:t>
      </w:r>
    </w:p>
    <w:p>
      <w:pPr>
        <w:spacing w:after="600"/>
        <w:jc w:val="center"/>
      </w:pPr>
      <w:r>
        <w:rPr>
          <w:i/>
          <w:iCs/>
          <w:color w:val="6B7280"/>
          <w:sz w:val="22"/>
          <w:szCs w:val="22"/>
        </w:rPr>
        <w:t xml:space="preserve">Project Documentation</w:t>
      </w:r>
    </w:p>
    <w:p>
      <w:pPr>
        <w:spacing w:after="40"/>
        <w:jc w:val="center"/>
      </w:pPr>
      <w:r>
        <w:rPr>
          <w:color w:val="6B7280"/>
          <w:sz w:val="20"/>
          <w:szCs w:val="20"/>
        </w:rPr>
        <w:t xml:space="preserve">Domain: BFSI (Banking, Financial Services &amp; Insurance)</w:t>
      </w:r>
    </w:p>
    <w:p>
      <w:pPr>
        <w:spacing w:after="40"/>
        <w:jc w:val="center"/>
      </w:pPr>
      <w:r>
        <w:rPr>
          <w:color w:val="6B7280"/>
          <w:sz w:val="20"/>
          <w:szCs w:val="20"/>
        </w:rPr>
        <w:t xml:space="preserve">Stack: HTML5 · CSS3 · JavaScript · Claude AI (claude-sonnet-4-6)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Project Overview</w:t>
      </w:r>
    </w:p>
    <w:p>
      <w:pPr>
        <w:spacing w:after="160"/>
      </w:pPr>
      <w:r>
        <w:t xml:space="preserve">FinWise AI is an AI-powered BFSI web platform that simplifies personal financial decision-making. It brings four core financial tools into a single, seamless interface: a Loan Eligibility Checker, a Credit Score Analyzer, an EMI Calculator, and an AI Financial Tips assistant.</w:t>
      </w:r>
    </w:p>
    <w:p>
      <w:pPr>
        <w:spacing w:after="160"/>
      </w:pPr>
      <w:r>
        <w:t xml:space="preserve">The platform is built with HTML, CSS, and JavaScript, using a dark glassmorphism visual design. Financial reasoning for the Loan Eligibility Checker, Credit Score Analyzer, and EMI Calculator runs entirely client-side through transparent rule-based logic, while the AI Financial Tips tool calls Claude directly for generative, context-aware guidance.</w:t>
      </w:r>
    </w:p>
    <w:p>
      <w:pPr>
        <w:pStyle w:val="Heading2"/>
        <w:spacing w:after="150" w:before="300"/>
      </w:pPr>
      <w:r>
        <w:t xml:space="preserve">1.1 Problem Statement</w:t>
      </w:r>
    </w:p>
    <w:p>
      <w:pPr>
        <w:spacing w:after="160"/>
      </w:pPr>
      <w:r>
        <w:t xml:space="preserve">Retail borrowers typically need to check multiple disconnected sources — a bank's eligibility calculator, a separate credit bureau report, a third-party EMI calculator, and generic financial advice — to make one lending decision. FinWise AI consolidates all four steps into one consistent flow so users can check eligibility, understand their credit standing, plan repayments, and get personalized advice without leaving the platform.</w:t>
      </w:r>
    </w:p>
    <w:p>
      <w:pPr>
        <w:pStyle w:val="Heading2"/>
        <w:spacing w:after="150" w:before="300"/>
      </w:pPr>
      <w:r>
        <w:t xml:space="preserve">1.2 Goals</w:t>
      </w:r>
    </w:p>
    <w:p>
      <w:pPr>
        <w:pStyle w:val="ListParagraph"/>
        <w:numPr>
          <w:ilvl w:val="0"/>
          <w:numId w:val="2"/>
        </w:numPr>
        <w:spacing w:after="90"/>
      </w:pPr>
      <w:r>
        <w:t xml:space="preserve">Give users an instant, transparent eligibility decision with a visible risk rating.</w:t>
      </w:r>
    </w:p>
    <w:p>
      <w:pPr>
        <w:pStyle w:val="ListParagraph"/>
        <w:numPr>
          <w:ilvl w:val="0"/>
          <w:numId w:val="2"/>
        </w:numPr>
        <w:spacing w:after="90"/>
      </w:pPr>
      <w:r>
        <w:t xml:space="preserve">Translate a raw credit score into a clear band and concrete next steps.</w:t>
      </w:r>
    </w:p>
    <w:p>
      <w:pPr>
        <w:pStyle w:val="ListParagraph"/>
        <w:numPr>
          <w:ilvl w:val="0"/>
          <w:numId w:val="2"/>
        </w:numPr>
        <w:spacing w:after="90"/>
      </w:pPr>
      <w:r>
        <w:t xml:space="preserve">Let users model loan repayments before they apply, not after.</w:t>
      </w:r>
    </w:p>
    <w:p>
      <w:pPr>
        <w:pStyle w:val="ListParagraph"/>
        <w:numPr>
          <w:ilvl w:val="0"/>
          <w:numId w:val="2"/>
        </w:numPr>
        <w:spacing w:after="90"/>
      </w:pPr>
      <w:r>
        <w:t xml:space="preserve">Layer generative AI on top of the rule-based tools for personalized, conversational advice.</w:t>
      </w:r>
    </w:p>
    <w:p>
      <w:pPr>
        <w:pStyle w:val="Heading1"/>
        <w:spacing w:after="200" w:before="400"/>
      </w:pPr>
      <w:r>
        <w:t xml:space="preserve">2. Key Features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0F1728" w:val="clear"/>
            <w:tcMar>
              <w:top w:type="dxa" w:w="100"/>
              <w:left w:type="dxa" w:w="120"/>
              <w:bottom w:type="dxa" w:w="100"/>
              <w:right w:type="dxa" w:w="120"/>
            </w:tcMar>
          </w:tcPr>
          <w:p>
            <w:pPr>
              <w:jc w:val="left"/>
            </w:pPr>
            <w:r>
              <w:rPr>
                <w:b/>
                <w:bCs/>
                <w:color w:val="FFFFFF"/>
                <w:sz w:val="20"/>
                <w:szCs w:val="20"/>
              </w:rPr>
              <w:t xml:space="preserve">Tool</w:t>
            </w:r>
          </w:p>
        </w:tc>
        <w:tc>
          <w:tcPr>
            <w:tcW w:type="dxa" w:w="3400"/>
            <w:shd w:fill="0F1728" w:val="clear"/>
            <w:tcMar>
              <w:top w:type="dxa" w:w="100"/>
              <w:left w:type="dxa" w:w="120"/>
              <w:bottom w:type="dxa" w:w="100"/>
              <w:right w:type="dxa" w:w="120"/>
            </w:tcMar>
          </w:tcPr>
          <w:p>
            <w:pPr>
              <w:jc w:val="left"/>
            </w:pPr>
            <w:r>
              <w:rPr>
                <w:b/>
                <w:bCs/>
                <w:color w:val="FFFFFF"/>
                <w:sz w:val="20"/>
                <w:szCs w:val="20"/>
              </w:rPr>
              <w:t xml:space="preserve">What it does</w:t>
            </w:r>
          </w:p>
        </w:tc>
        <w:tc>
          <w:tcPr>
            <w:tcW w:type="dxa" w:w="3600"/>
            <w:shd w:fill="0F1728" w:val="clear"/>
            <w:tcMar>
              <w:top w:type="dxa" w:w="100"/>
              <w:left w:type="dxa" w:w="120"/>
              <w:bottom w:type="dxa" w:w="100"/>
              <w:right w:type="dxa" w:w="120"/>
            </w:tcMar>
          </w:tcPr>
          <w:p>
            <w:pPr>
              <w:jc w:val="left"/>
            </w:pPr>
            <w:r>
              <w:rPr>
                <w:b/>
                <w:bCs/>
                <w:color w:val="FFFFFF"/>
                <w:sz w:val="20"/>
                <w:szCs w:val="20"/>
              </w:rPr>
              <w:t xml:space="preserve">Core logic</w:t>
            </w:r>
          </w:p>
        </w:tc>
      </w:tr>
      <w:tr>
        <w:tc>
          <w:tcPr>
            <w:tcW w:type="dxa" w:w="2400"/>
            <w:tcMar>
              <w:top w:type="dxa" w:w="100"/>
              <w:left w:type="dxa" w:w="120"/>
              <w:bottom w:type="dxa" w:w="100"/>
              <w:right w:type="dxa" w:w="120"/>
            </w:tcMar>
          </w:tcPr>
          <w:p>
            <w:pPr>
              <w:jc w:val="left"/>
            </w:pPr>
            <w:r>
              <w:rPr>
                <w:b w:val="false"/>
                <w:bCs w:val="false"/>
                <w:sz w:val="20"/>
                <w:szCs w:val="20"/>
              </w:rPr>
              <w:t xml:space="preserve">Loan Eligibility Checker</w:t>
            </w:r>
          </w:p>
        </w:tc>
        <w:tc>
          <w:tcPr>
            <w:tcW w:type="dxa" w:w="3400"/>
            <w:tcMar>
              <w:top w:type="dxa" w:w="100"/>
              <w:left w:type="dxa" w:w="120"/>
              <w:bottom w:type="dxa" w:w="100"/>
              <w:right w:type="dxa" w:w="120"/>
            </w:tcMar>
          </w:tcPr>
          <w:p>
            <w:pPr>
              <w:jc w:val="left"/>
            </w:pPr>
            <w:r>
              <w:rPr>
                <w:b w:val="false"/>
                <w:bCs w:val="false"/>
                <w:sz w:val="20"/>
                <w:szCs w:val="20"/>
              </w:rPr>
              <w:t xml:space="preserve">Checks whether a user qualifies for a loan and how much they can borrow.</w:t>
            </w:r>
          </w:p>
        </w:tc>
        <w:tc>
          <w:tcPr>
            <w:tcW w:type="dxa" w:w="3600"/>
            <w:tcMar>
              <w:top w:type="dxa" w:w="100"/>
              <w:left w:type="dxa" w:w="120"/>
              <w:bottom w:type="dxa" w:w="100"/>
              <w:right w:type="dxa" w:w="120"/>
            </w:tcMar>
          </w:tcPr>
          <w:p>
            <w:pPr>
              <w:jc w:val="left"/>
            </w:pPr>
            <w:r>
              <w:rPr>
                <w:b w:val="false"/>
                <w:bCs w:val="false"/>
                <w:sz w:val="20"/>
                <w:szCs w:val="20"/>
              </w:rPr>
              <w:t xml:space="preserve">FOIR-based rule engine using salary, existing EMI, and credit tier</w:t>
            </w:r>
          </w:p>
        </w:tc>
      </w:tr>
      <w:tr>
        <w:tc>
          <w:tcPr>
            <w:tcW w:type="dxa" w:w="2400"/>
            <w:shd w:fill="F5F5F5" w:val="clear"/>
            <w:tcMar>
              <w:top w:type="dxa" w:w="100"/>
              <w:left w:type="dxa" w:w="120"/>
              <w:bottom w:type="dxa" w:w="100"/>
              <w:right w:type="dxa" w:w="120"/>
            </w:tcMar>
          </w:tcPr>
          <w:p>
            <w:pPr>
              <w:jc w:val="left"/>
            </w:pPr>
            <w:r>
              <w:rPr>
                <w:b w:val="false"/>
                <w:bCs w:val="false"/>
                <w:sz w:val="20"/>
                <w:szCs w:val="20"/>
              </w:rPr>
              <w:t xml:space="preserve">Credit Score Analyzer</w:t>
            </w:r>
          </w:p>
        </w:tc>
        <w:tc>
          <w:tcPr>
            <w:tcW w:type="dxa" w:w="3400"/>
            <w:shd w:fill="F5F5F5" w:val="clear"/>
            <w:tcMar>
              <w:top w:type="dxa" w:w="100"/>
              <w:left w:type="dxa" w:w="120"/>
              <w:bottom w:type="dxa" w:w="100"/>
              <w:right w:type="dxa" w:w="120"/>
            </w:tcMar>
          </w:tcPr>
          <w:p>
            <w:pPr>
              <w:jc w:val="left"/>
            </w:pPr>
            <w:r>
              <w:rPr>
                <w:b w:val="false"/>
                <w:bCs w:val="false"/>
                <w:sz w:val="20"/>
                <w:szCs w:val="20"/>
              </w:rPr>
              <w:t xml:space="preserve">Classifies a credit score into a band and gives targeted improvement advice.</w:t>
            </w:r>
          </w:p>
        </w:tc>
        <w:tc>
          <w:tcPr>
            <w:tcW w:type="dxa" w:w="3600"/>
            <w:shd w:fill="F5F5F5" w:val="clear"/>
            <w:tcMar>
              <w:top w:type="dxa" w:w="100"/>
              <w:left w:type="dxa" w:w="120"/>
              <w:bottom w:type="dxa" w:w="100"/>
              <w:right w:type="dxa" w:w="120"/>
            </w:tcMar>
          </w:tcPr>
          <w:p>
            <w:pPr>
              <w:jc w:val="left"/>
            </w:pPr>
            <w:r>
              <w:rPr>
                <w:b w:val="false"/>
                <w:bCs w:val="false"/>
                <w:sz w:val="20"/>
                <w:szCs w:val="20"/>
              </w:rPr>
              <w:t xml:space="preserve">5-tier band classification (Excellent → Very Poor) with matched recommendations</w:t>
            </w:r>
          </w:p>
        </w:tc>
      </w:tr>
      <w:tr>
        <w:tc>
          <w:tcPr>
            <w:tcW w:type="dxa" w:w="2400"/>
            <w:tcMar>
              <w:top w:type="dxa" w:w="100"/>
              <w:left w:type="dxa" w:w="120"/>
              <w:bottom w:type="dxa" w:w="100"/>
              <w:right w:type="dxa" w:w="120"/>
            </w:tcMar>
          </w:tcPr>
          <w:p>
            <w:pPr>
              <w:jc w:val="left"/>
            </w:pPr>
            <w:r>
              <w:rPr>
                <w:b w:val="false"/>
                <w:bCs w:val="false"/>
                <w:sz w:val="20"/>
                <w:szCs w:val="20"/>
              </w:rPr>
              <w:t xml:space="preserve">EMI Calculator</w:t>
            </w:r>
          </w:p>
        </w:tc>
        <w:tc>
          <w:tcPr>
            <w:tcW w:type="dxa" w:w="3400"/>
            <w:tcMar>
              <w:top w:type="dxa" w:w="100"/>
              <w:left w:type="dxa" w:w="120"/>
              <w:bottom w:type="dxa" w:w="100"/>
              <w:right w:type="dxa" w:w="120"/>
            </w:tcMar>
          </w:tcPr>
          <w:p>
            <w:pPr>
              <w:jc w:val="left"/>
            </w:pPr>
            <w:r>
              <w:rPr>
                <w:b w:val="false"/>
                <w:bCs w:val="false"/>
                <w:sz w:val="20"/>
                <w:szCs w:val="20"/>
              </w:rPr>
              <w:t xml:space="preserve">Computes the exact monthly instalment for a loan before applying.</w:t>
            </w:r>
          </w:p>
        </w:tc>
        <w:tc>
          <w:tcPr>
            <w:tcW w:type="dxa" w:w="3600"/>
            <w:tcMar>
              <w:top w:type="dxa" w:w="100"/>
              <w:left w:type="dxa" w:w="120"/>
              <w:bottom w:type="dxa" w:w="100"/>
              <w:right w:type="dxa" w:w="120"/>
            </w:tcMar>
          </w:tcPr>
          <w:p>
            <w:pPr>
              <w:jc w:val="left"/>
            </w:pPr>
            <w:r>
              <w:rPr>
                <w:b w:val="false"/>
                <w:bCs w:val="false"/>
                <w:sz w:val="20"/>
                <w:szCs w:val="20"/>
              </w:rPr>
              <w:t xml:space="preserve">Standard reducing-balance EMI formula with principal/interest breakdown</w:t>
            </w:r>
          </w:p>
        </w:tc>
      </w:tr>
      <w:tr>
        <w:tc>
          <w:tcPr>
            <w:tcW w:type="dxa" w:w="2400"/>
            <w:shd w:fill="F5F5F5" w:val="clear"/>
            <w:tcMar>
              <w:top w:type="dxa" w:w="100"/>
              <w:left w:type="dxa" w:w="120"/>
              <w:bottom w:type="dxa" w:w="100"/>
              <w:right w:type="dxa" w:w="120"/>
            </w:tcMar>
          </w:tcPr>
          <w:p>
            <w:pPr>
              <w:jc w:val="left"/>
            </w:pPr>
            <w:r>
              <w:rPr>
                <w:b w:val="false"/>
                <w:bCs w:val="false"/>
                <w:sz w:val="20"/>
                <w:szCs w:val="20"/>
              </w:rPr>
              <w:t xml:space="preserve">AI Financial Tips</w:t>
            </w:r>
          </w:p>
        </w:tc>
        <w:tc>
          <w:tcPr>
            <w:tcW w:type="dxa" w:w="3400"/>
            <w:shd w:fill="F5F5F5" w:val="clear"/>
            <w:tcMar>
              <w:top w:type="dxa" w:w="100"/>
              <w:left w:type="dxa" w:w="120"/>
              <w:bottom w:type="dxa" w:w="100"/>
              <w:right w:type="dxa" w:w="120"/>
            </w:tcMar>
          </w:tcPr>
          <w:p>
            <w:pPr>
              <w:jc w:val="left"/>
            </w:pPr>
            <w:r>
              <w:rPr>
                <w:b w:val="false"/>
                <w:bCs w:val="false"/>
                <w:sz w:val="20"/>
                <w:szCs w:val="20"/>
              </w:rPr>
              <w:t xml:space="preserve">Answers free-form financial questions with structured, personalized guidance.</w:t>
            </w:r>
          </w:p>
        </w:tc>
        <w:tc>
          <w:tcPr>
            <w:tcW w:type="dxa" w:w="3600"/>
            <w:shd w:fill="F5F5F5" w:val="clear"/>
            <w:tcMar>
              <w:top w:type="dxa" w:w="100"/>
              <w:left w:type="dxa" w:w="120"/>
              <w:bottom w:type="dxa" w:w="100"/>
              <w:right w:type="dxa" w:w="120"/>
            </w:tcMar>
          </w:tcPr>
          <w:p>
            <w:pPr>
              <w:jc w:val="left"/>
            </w:pPr>
            <w:r>
              <w:rPr>
                <w:b w:val="false"/>
                <w:bCs w:val="false"/>
                <w:sz w:val="20"/>
                <w:szCs w:val="20"/>
              </w:rPr>
              <w:t xml:space="preserve">Live call to the Claude API (claude-sonnet-4-6), optionally passing in the user's last results as context</w:t>
            </w:r>
          </w:p>
        </w:tc>
      </w:tr>
    </w:tbl>
    <w:p>
      <w:pPr>
        <w:spacing w:before="200"/>
      </w:pPr>
    </w:p>
    <w:p>
      <w:pPr>
        <w:pStyle w:val="Heading2"/>
        <w:spacing w:after="150" w:before="300"/>
      </w:pPr>
      <w:r>
        <w:t xml:space="preserve">2.1 Loan Eligibility Checker</w:t>
      </w:r>
    </w:p>
    <w:p>
      <w:pPr>
        <w:spacing w:after="160"/>
      </w:pPr>
      <w:r>
        <w:t xml:space="preserve">Takes monthly salary, existing EMI obligations, credit score, and preferred tenure. The engine derives a credit tier from the score, applies a Fixed Obligation to Income Ratio (FOIR) cap for that tier, and works out the maximum EMI the applicant can safely carry. If that value is positive, the tool inverts the standard EMI formula to compute the eligible loan amount at the tier's indicative interest rate; if not, the application is marked not eligible.</w:t>
      </w:r>
    </w:p>
    <w:p>
      <w:pPr>
        <w:pStyle w:val="Heading2"/>
        <w:spacing w:after="150" w:before="300"/>
      </w:pPr>
      <w:r>
        <w:t xml:space="preserve">2.2 Credit Score Analyzer</w:t>
      </w:r>
    </w:p>
    <w:p>
      <w:pPr>
        <w:spacing w:after="160"/>
      </w:pPr>
      <w:r>
        <w:t xml:space="preserve">Classifies any score from 300–900 into one of five bands (see table below), shows it on a circular gauge scaled to the full 300–900 range, and lists 3–4 targeted recommendations for that specific band — for example, clearing overdue accounts first for a Poor or Very Poor score, versus watching utilization for a Good score.</w:t>
      </w:r>
    </w:p>
    <w:p>
      <w:pPr>
        <w:pStyle w:val="Heading2"/>
        <w:spacing w:after="150" w:before="300"/>
      </w:pPr>
      <w:r>
        <w:t xml:space="preserve">2.3 EMI Calculator</w:t>
      </w:r>
    </w:p>
    <w:p>
      <w:pPr>
        <w:spacing w:after="160"/>
      </w:pPr>
      <w:r>
        <w:t xml:space="preserve">Standard reducing-balance EMI formula: EMI = P × r × (1+r)ⁿ / [(1+r)ⁿ − 1], where P is principal, r is the monthly interest rate, and n is the tenure in months. Displays the monthly EMI, total interest payable, total repayment, and a visual principal-versus-interest split.</w:t>
      </w:r>
    </w:p>
    <w:p>
      <w:pPr>
        <w:pStyle w:val="Heading2"/>
        <w:spacing w:after="150" w:before="300"/>
      </w:pPr>
      <w:r>
        <w:t xml:space="preserve">2.4 AI Financial Tips</w:t>
      </w:r>
    </w:p>
    <w:p>
      <w:pPr>
        <w:spacing w:after="160"/>
      </w:pPr>
      <w:r>
        <w:t xml:space="preserve">A free-text question box (with quick-start prompt chips) sends the user's question directly to the Claude API. An optional toggle lets the user include their most recent Loan Eligibility and Credit Score results as context, so the advice Claude gives is grounded in their actual numbers rather than generic guidance.</w:t>
      </w:r>
    </w:p>
    <w:p>
      <w:pPr>
        <w:pStyle w:val="Heading1"/>
        <w:spacing w:after="200" w:before="400"/>
      </w:pPr>
      <w:r>
        <w:t xml:space="preserve">3. Eligibility &amp; Risk Rules</w:t>
      </w:r>
    </w:p>
    <w:p>
      <w:pPr>
        <w:spacing w:after="160"/>
      </w:pPr>
      <w:r>
        <w:t xml:space="preserve">Both the Loan Eligibility Checker and Credit Score Analyzer share one underlying tier table, so a user's risk classification is consistent across tools: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2000"/>
      </w:tblGrid>
      <w:tr>
        <w:tc>
          <w:tcPr>
            <w:tcW w:type="dxa" w:w="1800"/>
            <w:shd w:fill="0F1728" w:val="clear"/>
            <w:tcMar>
              <w:top w:type="dxa" w:w="100"/>
              <w:left w:type="dxa" w:w="120"/>
              <w:bottom w:type="dxa" w:w="100"/>
              <w:right w:type="dxa" w:w="120"/>
            </w:tcMar>
          </w:tcPr>
          <w:p>
            <w:pPr>
              <w:jc w:val="left"/>
            </w:pPr>
            <w:r>
              <w:rPr>
                <w:b/>
                <w:bCs/>
                <w:color w:val="FFFFFF"/>
                <w:sz w:val="20"/>
                <w:szCs w:val="20"/>
              </w:rPr>
              <w:t xml:space="preserve">Credit Score</w:t>
            </w:r>
          </w:p>
        </w:tc>
        <w:tc>
          <w:tcPr>
            <w:tcW w:type="dxa" w:w="1800"/>
            <w:shd w:fill="0F1728" w:val="clear"/>
            <w:tcMar>
              <w:top w:type="dxa" w:w="100"/>
              <w:left w:type="dxa" w:w="120"/>
              <w:bottom w:type="dxa" w:w="100"/>
              <w:right w:type="dxa" w:w="120"/>
            </w:tcMar>
          </w:tcPr>
          <w:p>
            <w:pPr>
              <w:jc w:val="center"/>
            </w:pPr>
            <w:r>
              <w:rPr>
                <w:b/>
                <w:bCs/>
                <w:color w:val="FFFFFF"/>
                <w:sz w:val="20"/>
                <w:szCs w:val="20"/>
              </w:rPr>
              <w:t xml:space="preserve">Tier</w:t>
            </w:r>
          </w:p>
        </w:tc>
        <w:tc>
          <w:tcPr>
            <w:tcW w:type="dxa" w:w="1800"/>
            <w:shd w:fill="0F1728" w:val="clear"/>
            <w:tcMar>
              <w:top w:type="dxa" w:w="100"/>
              <w:left w:type="dxa" w:w="120"/>
              <w:bottom w:type="dxa" w:w="100"/>
              <w:right w:type="dxa" w:w="120"/>
            </w:tcMar>
          </w:tcPr>
          <w:p>
            <w:pPr>
              <w:jc w:val="center"/>
            </w:pPr>
            <w:r>
              <w:rPr>
                <w:b/>
                <w:bCs/>
                <w:color w:val="FFFFFF"/>
                <w:sz w:val="20"/>
                <w:szCs w:val="20"/>
              </w:rPr>
              <w:t xml:space="preserve">Indicative Rate</w:t>
            </w:r>
          </w:p>
        </w:tc>
        <w:tc>
          <w:tcPr>
            <w:tcW w:type="dxa" w:w="2000"/>
            <w:shd w:fill="0F1728" w:val="clear"/>
            <w:tcMar>
              <w:top w:type="dxa" w:w="100"/>
              <w:left w:type="dxa" w:w="120"/>
              <w:bottom w:type="dxa" w:w="100"/>
              <w:right w:type="dxa" w:w="120"/>
            </w:tcMar>
          </w:tcPr>
          <w:p>
            <w:pPr>
              <w:jc w:val="center"/>
            </w:pPr>
            <w:r>
              <w:rPr>
                <w:b/>
                <w:bCs/>
                <w:color w:val="FFFFFF"/>
                <w:sz w:val="20"/>
                <w:szCs w:val="20"/>
              </w:rPr>
              <w:t xml:space="preserve">Max FOIR</w:t>
            </w:r>
          </w:p>
        </w:tc>
        <w:tc>
          <w:tcPr>
            <w:tcW w:type="dxa" w:w="2000"/>
            <w:shd w:fill="0F1728" w:val="clear"/>
            <w:tcMar>
              <w:top w:type="dxa" w:w="100"/>
              <w:left w:type="dxa" w:w="120"/>
              <w:bottom w:type="dxa" w:w="100"/>
              <w:right w:type="dxa" w:w="120"/>
            </w:tcMar>
          </w:tcPr>
          <w:p>
            <w:pPr>
              <w:jc w:val="center"/>
            </w:pPr>
            <w:r>
              <w:rPr>
                <w:b/>
                <w:bCs/>
                <w:color w:val="FFFFFF"/>
                <w:sz w:val="20"/>
                <w:szCs w:val="20"/>
              </w:rPr>
              <w:t xml:space="preserve">Risk Band</w:t>
            </w:r>
          </w:p>
        </w:tc>
      </w:tr>
      <w:tr>
        <w:tc>
          <w:tcPr>
            <w:tcW w:type="dxa" w:w="1800"/>
            <w:tcMar>
              <w:top w:type="dxa" w:w="100"/>
              <w:left w:type="dxa" w:w="120"/>
              <w:bottom w:type="dxa" w:w="100"/>
              <w:right w:type="dxa" w:w="120"/>
            </w:tcMar>
          </w:tcPr>
          <w:p>
            <w:pPr>
              <w:jc w:val="left"/>
            </w:pPr>
            <w:r>
              <w:rPr>
                <w:b w:val="false"/>
                <w:bCs w:val="false"/>
                <w:sz w:val="20"/>
                <w:szCs w:val="20"/>
              </w:rPr>
              <w:t xml:space="preserve">750 – 900</w:t>
            </w:r>
          </w:p>
        </w:tc>
        <w:tc>
          <w:tcPr>
            <w:tcW w:type="dxa" w:w="1800"/>
            <w:tcMar>
              <w:top w:type="dxa" w:w="100"/>
              <w:left w:type="dxa" w:w="120"/>
              <w:bottom w:type="dxa" w:w="100"/>
              <w:right w:type="dxa" w:w="120"/>
            </w:tcMar>
          </w:tcPr>
          <w:p>
            <w:pPr>
              <w:jc w:val="center"/>
            </w:pPr>
            <w:r>
              <w:rPr>
                <w:b w:val="false"/>
                <w:bCs w:val="false"/>
                <w:sz w:val="20"/>
                <w:szCs w:val="20"/>
              </w:rPr>
              <w:t xml:space="preserve">Excellent</w:t>
            </w:r>
          </w:p>
        </w:tc>
        <w:tc>
          <w:tcPr>
            <w:tcW w:type="dxa" w:w="1800"/>
            <w:tcMar>
              <w:top w:type="dxa" w:w="100"/>
              <w:left w:type="dxa" w:w="120"/>
              <w:bottom w:type="dxa" w:w="100"/>
              <w:right w:type="dxa" w:w="120"/>
            </w:tcMar>
          </w:tcPr>
          <w:p>
            <w:pPr>
              <w:jc w:val="center"/>
            </w:pPr>
            <w:r>
              <w:rPr>
                <w:b w:val="false"/>
                <w:bCs w:val="false"/>
                <w:sz w:val="20"/>
                <w:szCs w:val="20"/>
              </w:rPr>
              <w:t xml:space="preserve">9.5%</w:t>
            </w:r>
          </w:p>
        </w:tc>
        <w:tc>
          <w:tcPr>
            <w:tcW w:type="dxa" w:w="2000"/>
            <w:tcMar>
              <w:top w:type="dxa" w:w="100"/>
              <w:left w:type="dxa" w:w="120"/>
              <w:bottom w:type="dxa" w:w="100"/>
              <w:right w:type="dxa" w:w="120"/>
            </w:tcMar>
          </w:tcPr>
          <w:p>
            <w:pPr>
              <w:jc w:val="center"/>
            </w:pPr>
            <w:r>
              <w:rPr>
                <w:b w:val="false"/>
                <w:bCs w:val="false"/>
                <w:sz w:val="20"/>
                <w:szCs w:val="20"/>
              </w:rPr>
              <w:t xml:space="preserve">50%</w:t>
            </w:r>
          </w:p>
        </w:tc>
        <w:tc>
          <w:tcPr>
            <w:tcW w:type="dxa" w:w="2000"/>
            <w:tcMar>
              <w:top w:type="dxa" w:w="100"/>
              <w:left w:type="dxa" w:w="120"/>
              <w:bottom w:type="dxa" w:w="100"/>
              <w:right w:type="dxa" w:w="120"/>
            </w:tcMar>
          </w:tcPr>
          <w:p>
            <w:pPr>
              <w:jc w:val="center"/>
            </w:pPr>
            <w:r>
              <w:rPr>
                <w:b w:val="false"/>
                <w:bCs w:val="false"/>
                <w:sz w:val="20"/>
                <w:szCs w:val="20"/>
              </w:rPr>
              <w:t xml:space="preserve">Low</w:t>
            </w:r>
          </w:p>
        </w:tc>
      </w:tr>
      <w:tr>
        <w:tc>
          <w:tcPr>
            <w:tcW w:type="dxa" w:w="1800"/>
            <w:shd w:fill="F5F5F5" w:val="clear"/>
            <w:tcMar>
              <w:top w:type="dxa" w:w="100"/>
              <w:left w:type="dxa" w:w="120"/>
              <w:bottom w:type="dxa" w:w="100"/>
              <w:right w:type="dxa" w:w="120"/>
            </w:tcMar>
          </w:tcPr>
          <w:p>
            <w:pPr>
              <w:jc w:val="left"/>
            </w:pPr>
            <w:r>
              <w:rPr>
                <w:b w:val="false"/>
                <w:bCs w:val="false"/>
                <w:sz w:val="20"/>
                <w:szCs w:val="20"/>
              </w:rPr>
              <w:t xml:space="preserve">700 – 749</w:t>
            </w:r>
          </w:p>
        </w:tc>
        <w:tc>
          <w:tcPr>
            <w:tcW w:type="dxa" w:w="1800"/>
            <w:shd w:fill="F5F5F5" w:val="clear"/>
            <w:tcMar>
              <w:top w:type="dxa" w:w="100"/>
              <w:left w:type="dxa" w:w="120"/>
              <w:bottom w:type="dxa" w:w="100"/>
              <w:right w:type="dxa" w:w="120"/>
            </w:tcMar>
          </w:tcPr>
          <w:p>
            <w:pPr>
              <w:jc w:val="center"/>
            </w:pPr>
            <w:r>
              <w:rPr>
                <w:b w:val="false"/>
                <w:bCs w:val="false"/>
                <w:sz w:val="20"/>
                <w:szCs w:val="20"/>
              </w:rPr>
              <w:t xml:space="preserve">Good</w:t>
            </w:r>
          </w:p>
        </w:tc>
        <w:tc>
          <w:tcPr>
            <w:tcW w:type="dxa" w:w="1800"/>
            <w:shd w:fill="F5F5F5" w:val="clear"/>
            <w:tcMar>
              <w:top w:type="dxa" w:w="100"/>
              <w:left w:type="dxa" w:w="120"/>
              <w:bottom w:type="dxa" w:w="100"/>
              <w:right w:type="dxa" w:w="120"/>
            </w:tcMar>
          </w:tcPr>
          <w:p>
            <w:pPr>
              <w:jc w:val="center"/>
            </w:pPr>
            <w:r>
              <w:rPr>
                <w:b w:val="false"/>
                <w:bCs w:val="false"/>
                <w:sz w:val="20"/>
                <w:szCs w:val="20"/>
              </w:rPr>
              <w:t xml:space="preserve">10.0%</w:t>
            </w:r>
          </w:p>
        </w:tc>
        <w:tc>
          <w:tcPr>
            <w:tcW w:type="dxa" w:w="2000"/>
            <w:shd w:fill="F5F5F5" w:val="clear"/>
            <w:tcMar>
              <w:top w:type="dxa" w:w="100"/>
              <w:left w:type="dxa" w:w="120"/>
              <w:bottom w:type="dxa" w:w="100"/>
              <w:right w:type="dxa" w:w="120"/>
            </w:tcMar>
          </w:tcPr>
          <w:p>
            <w:pPr>
              <w:jc w:val="center"/>
            </w:pPr>
            <w:r>
              <w:rPr>
                <w:b w:val="false"/>
                <w:bCs w:val="false"/>
                <w:sz w:val="20"/>
                <w:szCs w:val="20"/>
              </w:rPr>
              <w:t xml:space="preserve">50%</w:t>
            </w:r>
          </w:p>
        </w:tc>
        <w:tc>
          <w:tcPr>
            <w:tcW w:type="dxa" w:w="2000"/>
            <w:shd w:fill="F5F5F5" w:val="clear"/>
            <w:tcMar>
              <w:top w:type="dxa" w:w="100"/>
              <w:left w:type="dxa" w:w="120"/>
              <w:bottom w:type="dxa" w:w="100"/>
              <w:right w:type="dxa" w:w="120"/>
            </w:tcMar>
          </w:tcPr>
          <w:p>
            <w:pPr>
              <w:jc w:val="center"/>
            </w:pPr>
            <w:r>
              <w:rPr>
                <w:b w:val="false"/>
                <w:bCs w:val="false"/>
                <w:sz w:val="20"/>
                <w:szCs w:val="20"/>
              </w:rPr>
              <w:t xml:space="preserve">Low</w:t>
            </w:r>
          </w:p>
        </w:tc>
      </w:tr>
      <w:tr>
        <w:tc>
          <w:tcPr>
            <w:tcW w:type="dxa" w:w="1800"/>
            <w:tcMar>
              <w:top w:type="dxa" w:w="100"/>
              <w:left w:type="dxa" w:w="120"/>
              <w:bottom w:type="dxa" w:w="100"/>
              <w:right w:type="dxa" w:w="120"/>
            </w:tcMar>
          </w:tcPr>
          <w:p>
            <w:pPr>
              <w:jc w:val="left"/>
            </w:pPr>
            <w:r>
              <w:rPr>
                <w:b w:val="false"/>
                <w:bCs w:val="false"/>
                <w:sz w:val="20"/>
                <w:szCs w:val="20"/>
              </w:rPr>
              <w:t xml:space="preserve">650 – 699</w:t>
            </w:r>
          </w:p>
        </w:tc>
        <w:tc>
          <w:tcPr>
            <w:tcW w:type="dxa" w:w="1800"/>
            <w:tcMar>
              <w:top w:type="dxa" w:w="100"/>
              <w:left w:type="dxa" w:w="120"/>
              <w:bottom w:type="dxa" w:w="100"/>
              <w:right w:type="dxa" w:w="120"/>
            </w:tcMar>
          </w:tcPr>
          <w:p>
            <w:pPr>
              <w:jc w:val="center"/>
            </w:pPr>
            <w:r>
              <w:rPr>
                <w:b w:val="false"/>
                <w:bCs w:val="false"/>
                <w:sz w:val="20"/>
                <w:szCs w:val="20"/>
              </w:rPr>
              <w:t xml:space="preserve">Fair</w:t>
            </w:r>
          </w:p>
        </w:tc>
        <w:tc>
          <w:tcPr>
            <w:tcW w:type="dxa" w:w="1800"/>
            <w:tcMar>
              <w:top w:type="dxa" w:w="100"/>
              <w:left w:type="dxa" w:w="120"/>
              <w:bottom w:type="dxa" w:w="100"/>
              <w:right w:type="dxa" w:w="120"/>
            </w:tcMar>
          </w:tcPr>
          <w:p>
            <w:pPr>
              <w:jc w:val="center"/>
            </w:pPr>
            <w:r>
              <w:rPr>
                <w:b w:val="false"/>
                <w:bCs w:val="false"/>
                <w:sz w:val="20"/>
                <w:szCs w:val="20"/>
              </w:rPr>
              <w:t xml:space="preserve">11.5%</w:t>
            </w:r>
          </w:p>
        </w:tc>
        <w:tc>
          <w:tcPr>
            <w:tcW w:type="dxa" w:w="2000"/>
            <w:tcMar>
              <w:top w:type="dxa" w:w="100"/>
              <w:left w:type="dxa" w:w="120"/>
              <w:bottom w:type="dxa" w:w="100"/>
              <w:right w:type="dxa" w:w="120"/>
            </w:tcMar>
          </w:tcPr>
          <w:p>
            <w:pPr>
              <w:jc w:val="center"/>
            </w:pPr>
            <w:r>
              <w:rPr>
                <w:b w:val="false"/>
                <w:bCs w:val="false"/>
                <w:sz w:val="20"/>
                <w:szCs w:val="20"/>
              </w:rPr>
              <w:t xml:space="preserve">45%</w:t>
            </w:r>
          </w:p>
        </w:tc>
        <w:tc>
          <w:tcPr>
            <w:tcW w:type="dxa" w:w="2000"/>
            <w:tcMar>
              <w:top w:type="dxa" w:w="100"/>
              <w:left w:type="dxa" w:w="120"/>
              <w:bottom w:type="dxa" w:w="100"/>
              <w:right w:type="dxa" w:w="120"/>
            </w:tcMar>
          </w:tcPr>
          <w:p>
            <w:pPr>
              <w:jc w:val="center"/>
            </w:pPr>
            <w:r>
              <w:rPr>
                <w:b w:val="false"/>
                <w:bCs w:val="false"/>
                <w:sz w:val="20"/>
                <w:szCs w:val="20"/>
              </w:rPr>
              <w:t xml:space="preserve">Medium</w:t>
            </w:r>
          </w:p>
        </w:tc>
      </w:tr>
      <w:tr>
        <w:tc>
          <w:tcPr>
            <w:tcW w:type="dxa" w:w="1800"/>
            <w:shd w:fill="F5F5F5" w:val="clear"/>
            <w:tcMar>
              <w:top w:type="dxa" w:w="100"/>
              <w:left w:type="dxa" w:w="120"/>
              <w:bottom w:type="dxa" w:w="100"/>
              <w:right w:type="dxa" w:w="120"/>
            </w:tcMar>
          </w:tcPr>
          <w:p>
            <w:pPr>
              <w:jc w:val="left"/>
            </w:pPr>
            <w:r>
              <w:rPr>
                <w:b w:val="false"/>
                <w:bCs w:val="false"/>
                <w:sz w:val="20"/>
                <w:szCs w:val="20"/>
              </w:rPr>
              <w:t xml:space="preserve">550 – 649</w:t>
            </w:r>
          </w:p>
        </w:tc>
        <w:tc>
          <w:tcPr>
            <w:tcW w:type="dxa" w:w="1800"/>
            <w:shd w:fill="F5F5F5" w:val="clear"/>
            <w:tcMar>
              <w:top w:type="dxa" w:w="100"/>
              <w:left w:type="dxa" w:w="120"/>
              <w:bottom w:type="dxa" w:w="100"/>
              <w:right w:type="dxa" w:w="120"/>
            </w:tcMar>
          </w:tcPr>
          <w:p>
            <w:pPr>
              <w:jc w:val="center"/>
            </w:pPr>
            <w:r>
              <w:rPr>
                <w:b w:val="false"/>
                <w:bCs w:val="false"/>
                <w:sz w:val="20"/>
                <w:szCs w:val="20"/>
              </w:rPr>
              <w:t xml:space="preserve">Poor</w:t>
            </w:r>
          </w:p>
        </w:tc>
        <w:tc>
          <w:tcPr>
            <w:tcW w:type="dxa" w:w="1800"/>
            <w:shd w:fill="F5F5F5" w:val="clear"/>
            <w:tcMar>
              <w:top w:type="dxa" w:w="100"/>
              <w:left w:type="dxa" w:w="120"/>
              <w:bottom w:type="dxa" w:w="100"/>
              <w:right w:type="dxa" w:w="120"/>
            </w:tcMar>
          </w:tcPr>
          <w:p>
            <w:pPr>
              <w:jc w:val="center"/>
            </w:pPr>
            <w:r>
              <w:rPr>
                <w:b w:val="false"/>
                <w:bCs w:val="false"/>
                <w:sz w:val="20"/>
                <w:szCs w:val="20"/>
              </w:rPr>
              <w:t xml:space="preserve">13.5%</w:t>
            </w:r>
          </w:p>
        </w:tc>
        <w:tc>
          <w:tcPr>
            <w:tcW w:type="dxa" w:w="2000"/>
            <w:shd w:fill="F5F5F5" w:val="clear"/>
            <w:tcMar>
              <w:top w:type="dxa" w:w="100"/>
              <w:left w:type="dxa" w:w="120"/>
              <w:bottom w:type="dxa" w:w="100"/>
              <w:right w:type="dxa" w:w="120"/>
            </w:tcMar>
          </w:tcPr>
          <w:p>
            <w:pPr>
              <w:jc w:val="center"/>
            </w:pPr>
            <w:r>
              <w:rPr>
                <w:b w:val="false"/>
                <w:bCs w:val="false"/>
                <w:sz w:val="20"/>
                <w:szCs w:val="20"/>
              </w:rPr>
              <w:t xml:space="preserve">35%</w:t>
            </w:r>
          </w:p>
        </w:tc>
        <w:tc>
          <w:tcPr>
            <w:tcW w:type="dxa" w:w="2000"/>
            <w:shd w:fill="F5F5F5" w:val="clear"/>
            <w:tcMar>
              <w:top w:type="dxa" w:w="100"/>
              <w:left w:type="dxa" w:w="120"/>
              <w:bottom w:type="dxa" w:w="100"/>
              <w:right w:type="dxa" w:w="120"/>
            </w:tcMar>
          </w:tcPr>
          <w:p>
            <w:pPr>
              <w:jc w:val="center"/>
            </w:pPr>
            <w:r>
              <w:rPr>
                <w:b w:val="false"/>
                <w:bCs w:val="false"/>
                <w:sz w:val="20"/>
                <w:szCs w:val="20"/>
              </w:rPr>
              <w:t xml:space="preserve">High</w:t>
            </w:r>
          </w:p>
        </w:tc>
      </w:tr>
      <w:tr>
        <w:tc>
          <w:tcPr>
            <w:tcW w:type="dxa" w:w="1800"/>
            <w:tcMar>
              <w:top w:type="dxa" w:w="100"/>
              <w:left w:type="dxa" w:w="120"/>
              <w:bottom w:type="dxa" w:w="100"/>
              <w:right w:type="dxa" w:w="120"/>
            </w:tcMar>
          </w:tcPr>
          <w:p>
            <w:pPr>
              <w:jc w:val="left"/>
            </w:pPr>
            <w:r>
              <w:rPr>
                <w:b w:val="false"/>
                <w:bCs w:val="false"/>
                <w:sz w:val="20"/>
                <w:szCs w:val="20"/>
              </w:rPr>
              <w:t xml:space="preserve">Below 550</w:t>
            </w:r>
          </w:p>
        </w:tc>
        <w:tc>
          <w:tcPr>
            <w:tcW w:type="dxa" w:w="1800"/>
            <w:tcMar>
              <w:top w:type="dxa" w:w="100"/>
              <w:left w:type="dxa" w:w="120"/>
              <w:bottom w:type="dxa" w:w="100"/>
              <w:right w:type="dxa" w:w="120"/>
            </w:tcMar>
          </w:tcPr>
          <w:p>
            <w:pPr>
              <w:jc w:val="center"/>
            </w:pPr>
            <w:r>
              <w:rPr>
                <w:b w:val="false"/>
                <w:bCs w:val="false"/>
                <w:sz w:val="20"/>
                <w:szCs w:val="20"/>
              </w:rPr>
              <w:t xml:space="preserve">Very Poor</w:t>
            </w:r>
          </w:p>
        </w:tc>
        <w:tc>
          <w:tcPr>
            <w:tcW w:type="dxa" w:w="1800"/>
            <w:tcMar>
              <w:top w:type="dxa" w:w="100"/>
              <w:left w:type="dxa" w:w="120"/>
              <w:bottom w:type="dxa" w:w="100"/>
              <w:right w:type="dxa" w:w="120"/>
            </w:tcMar>
          </w:tcPr>
          <w:p>
            <w:pPr>
              <w:jc w:val="center"/>
            </w:pPr>
            <w:r>
              <w:rPr>
                <w:b w:val="false"/>
                <w:bCs w:val="false"/>
                <w:sz w:val="20"/>
                <w:szCs w:val="20"/>
              </w:rPr>
              <w:t xml:space="preserve">16.0%</w:t>
            </w:r>
          </w:p>
        </w:tc>
        <w:tc>
          <w:tcPr>
            <w:tcW w:type="dxa" w:w="2000"/>
            <w:tcMar>
              <w:top w:type="dxa" w:w="100"/>
              <w:left w:type="dxa" w:w="120"/>
              <w:bottom w:type="dxa" w:w="100"/>
              <w:right w:type="dxa" w:w="120"/>
            </w:tcMar>
          </w:tcPr>
          <w:p>
            <w:pPr>
              <w:jc w:val="center"/>
            </w:pPr>
            <w:r>
              <w:rPr>
                <w:b w:val="false"/>
                <w:bCs w:val="false"/>
                <w:sz w:val="20"/>
                <w:szCs w:val="20"/>
              </w:rPr>
              <w:t xml:space="preserve">25%</w:t>
            </w:r>
          </w:p>
        </w:tc>
        <w:tc>
          <w:tcPr>
            <w:tcW w:type="dxa" w:w="2000"/>
            <w:tcMar>
              <w:top w:type="dxa" w:w="100"/>
              <w:left w:type="dxa" w:w="120"/>
              <w:bottom w:type="dxa" w:w="100"/>
              <w:right w:type="dxa" w:w="120"/>
            </w:tcMar>
          </w:tcPr>
          <w:p>
            <w:pPr>
              <w:jc w:val="center"/>
            </w:pPr>
            <w:r>
              <w:rPr>
                <w:b w:val="false"/>
                <w:bCs w:val="false"/>
                <w:sz w:val="20"/>
                <w:szCs w:val="20"/>
              </w:rPr>
              <w:t xml:space="preserve">High</w:t>
            </w:r>
          </w:p>
        </w:tc>
      </w:tr>
    </w:tbl>
    <w:p>
      <w:pPr>
        <w:spacing w:before="200"/>
      </w:pPr>
    </w:p>
    <w:p>
      <w:pPr>
        <w:spacing w:after="160"/>
      </w:pPr>
      <w:r>
        <w:t xml:space="preserve">Risk band logic applied on top of the tier: Low risk requires a score of 700+ with positive EMI headroom; Medium risk requires a score of 650–699 with positive headroom; every other case — including any score below 650, or a case where obligations exceed the FOIR cap — is marked High risk.</w:t>
      </w:r>
    </w:p>
    <w:p>
      <w:pPr>
        <w:pStyle w:val="Heading1"/>
        <w:spacing w:after="200" w:before="400"/>
      </w:pPr>
      <w:r>
        <w:t xml:space="preserve">4. User Scenarios</w:t>
      </w:r>
    </w:p>
    <w:p>
      <w:pPr>
        <w:spacing w:after="160"/>
      </w:pPr>
      <w:r>
        <w:t xml:space="preserve">These scenarios illustrate the platform's intended behavior end-to-end and were used to validate the rule engine.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800"/>
      </w:tblGrid>
      <w:tr>
        <w:tc>
          <w:tcPr>
            <w:tcW w:type="dxa" w:w="1800"/>
            <w:shd w:fill="0F1728" w:val="clear"/>
            <w:tcMar>
              <w:top w:type="dxa" w:w="100"/>
              <w:left w:type="dxa" w:w="120"/>
              <w:bottom w:type="dxa" w:w="100"/>
              <w:right w:type="dxa" w:w="120"/>
            </w:tcMar>
          </w:tcPr>
          <w:p>
            <w:pPr>
              <w:jc w:val="left"/>
            </w:pPr>
            <w:r>
              <w:rPr>
                <w:b/>
                <w:bCs/>
                <w:color w:val="FFFFFF"/>
                <w:sz w:val="20"/>
                <w:szCs w:val="20"/>
              </w:rPr>
              <w:t xml:space="preserve">Scenario</w:t>
            </w:r>
          </w:p>
        </w:tc>
        <w:tc>
          <w:tcPr>
            <w:tcW w:type="dxa" w:w="3800"/>
            <w:shd w:fill="0F1728" w:val="clear"/>
            <w:tcMar>
              <w:top w:type="dxa" w:w="100"/>
              <w:left w:type="dxa" w:w="120"/>
              <w:bottom w:type="dxa" w:w="100"/>
              <w:right w:type="dxa" w:w="120"/>
            </w:tcMar>
          </w:tcPr>
          <w:p>
            <w:pPr>
              <w:jc w:val="left"/>
            </w:pPr>
            <w:r>
              <w:rPr>
                <w:b/>
                <w:bCs/>
                <w:color w:val="FFFFFF"/>
                <w:sz w:val="20"/>
                <w:szCs w:val="20"/>
              </w:rPr>
              <w:t xml:space="preserve">Input</w:t>
            </w:r>
          </w:p>
        </w:tc>
        <w:tc>
          <w:tcPr>
            <w:tcW w:type="dxa" w:w="3800"/>
            <w:shd w:fill="0F1728" w:val="clear"/>
            <w:tcMar>
              <w:top w:type="dxa" w:w="100"/>
              <w:left w:type="dxa" w:w="120"/>
              <w:bottom w:type="dxa" w:w="100"/>
              <w:right w:type="dxa" w:w="120"/>
            </w:tcMar>
          </w:tcPr>
          <w:p>
            <w:pPr>
              <w:jc w:val="left"/>
            </w:pPr>
            <w:r>
              <w:rPr>
                <w:b/>
                <w:bCs/>
                <w:color w:val="FFFFFF"/>
                <w:sz w:val="20"/>
                <w:szCs w:val="20"/>
              </w:rPr>
              <w:t xml:space="preserve">Expected Output</w:t>
            </w:r>
          </w:p>
        </w:tc>
      </w:tr>
      <w:tr>
        <w:tc>
          <w:tcPr>
            <w:tcW w:type="dxa" w:w="1800"/>
            <w:tcMar>
              <w:top w:type="dxa" w:w="100"/>
              <w:left w:type="dxa" w:w="120"/>
              <w:bottom w:type="dxa" w:w="100"/>
              <w:right w:type="dxa" w:w="120"/>
            </w:tcMar>
          </w:tcPr>
          <w:p>
            <w:pPr>
              <w:jc w:val="left"/>
            </w:pPr>
            <w:r>
              <w:rPr>
                <w:b w:val="false"/>
                <w:bCs w:val="false"/>
                <w:sz w:val="20"/>
                <w:szCs w:val="20"/>
              </w:rPr>
              <w:t xml:space="preserve">Salaried Individual</w:t>
            </w:r>
          </w:p>
        </w:tc>
        <w:tc>
          <w:tcPr>
            <w:tcW w:type="dxa" w:w="3800"/>
            <w:tcMar>
              <w:top w:type="dxa" w:w="100"/>
              <w:left w:type="dxa" w:w="120"/>
              <w:bottom w:type="dxa" w:w="100"/>
              <w:right w:type="dxa" w:w="120"/>
            </w:tcMar>
          </w:tcPr>
          <w:p>
            <w:pPr>
              <w:jc w:val="left"/>
            </w:pPr>
            <w:r>
              <w:rPr>
                <w:b w:val="false"/>
                <w:bCs w:val="false"/>
                <w:sz w:val="20"/>
                <w:szCs w:val="20"/>
              </w:rPr>
              <w:t xml:space="preserve">Salary ₹45,000, credit 730, no existing EMI</w:t>
            </w:r>
          </w:p>
        </w:tc>
        <w:tc>
          <w:tcPr>
            <w:tcW w:type="dxa" w:w="3800"/>
            <w:tcMar>
              <w:top w:type="dxa" w:w="100"/>
              <w:left w:type="dxa" w:w="120"/>
              <w:bottom w:type="dxa" w:w="100"/>
              <w:right w:type="dxa" w:w="120"/>
            </w:tcMar>
          </w:tcPr>
          <w:p>
            <w:pPr>
              <w:jc w:val="left"/>
            </w:pPr>
            <w:r>
              <w:rPr>
                <w:b w:val="false"/>
                <w:bCs w:val="false"/>
                <w:sz w:val="20"/>
                <w:szCs w:val="20"/>
              </w:rPr>
              <w:t xml:space="preserve">Approved — Low risk, high eligible loan amount</w:t>
            </w:r>
          </w:p>
        </w:tc>
      </w:tr>
      <w:tr>
        <w:tc>
          <w:tcPr>
            <w:tcW w:type="dxa" w:w="1800"/>
            <w:shd w:fill="F5F5F5" w:val="clear"/>
            <w:tcMar>
              <w:top w:type="dxa" w:w="100"/>
              <w:left w:type="dxa" w:w="120"/>
              <w:bottom w:type="dxa" w:w="100"/>
              <w:right w:type="dxa" w:w="120"/>
            </w:tcMar>
          </w:tcPr>
          <w:p>
            <w:pPr>
              <w:jc w:val="left"/>
            </w:pPr>
            <w:r>
              <w:rPr>
                <w:b w:val="false"/>
                <w:bCs w:val="false"/>
                <w:sz w:val="20"/>
                <w:szCs w:val="20"/>
              </w:rPr>
              <w:t xml:space="preserve">High-Risk Applicant</w:t>
            </w:r>
          </w:p>
        </w:tc>
        <w:tc>
          <w:tcPr>
            <w:tcW w:type="dxa" w:w="3800"/>
            <w:shd w:fill="F5F5F5" w:val="clear"/>
            <w:tcMar>
              <w:top w:type="dxa" w:w="100"/>
              <w:left w:type="dxa" w:w="120"/>
              <w:bottom w:type="dxa" w:w="100"/>
              <w:right w:type="dxa" w:w="120"/>
            </w:tcMar>
          </w:tcPr>
          <w:p>
            <w:pPr>
              <w:jc w:val="left"/>
            </w:pPr>
            <w:r>
              <w:rPr>
                <w:b w:val="false"/>
                <w:bCs w:val="false"/>
                <w:sz w:val="20"/>
                <w:szCs w:val="20"/>
              </w:rPr>
              <w:t xml:space="preserve">Salary ₹22,000, credit 620, existing EMI ₹18,000</w:t>
            </w:r>
          </w:p>
        </w:tc>
        <w:tc>
          <w:tcPr>
            <w:tcW w:type="dxa" w:w="3800"/>
            <w:shd w:fill="F5F5F5" w:val="clear"/>
            <w:tcMar>
              <w:top w:type="dxa" w:w="100"/>
              <w:left w:type="dxa" w:w="120"/>
              <w:bottom w:type="dxa" w:w="100"/>
              <w:right w:type="dxa" w:w="120"/>
            </w:tcMar>
          </w:tcPr>
          <w:p>
            <w:pPr>
              <w:jc w:val="left"/>
            </w:pPr>
            <w:r>
              <w:rPr>
                <w:b w:val="false"/>
                <w:bCs w:val="false"/>
                <w:sz w:val="20"/>
                <w:szCs w:val="20"/>
              </w:rPr>
              <w:t xml:space="preserve">Rejected — High risk, directed to Credit Score Analyzer</w:t>
            </w:r>
          </w:p>
        </w:tc>
      </w:tr>
      <w:tr>
        <w:tc>
          <w:tcPr>
            <w:tcW w:type="dxa" w:w="1800"/>
            <w:tcMar>
              <w:top w:type="dxa" w:w="100"/>
              <w:left w:type="dxa" w:w="120"/>
              <w:bottom w:type="dxa" w:w="100"/>
              <w:right w:type="dxa" w:w="120"/>
            </w:tcMar>
          </w:tcPr>
          <w:p>
            <w:pPr>
              <w:jc w:val="left"/>
            </w:pPr>
            <w:r>
              <w:rPr>
                <w:b w:val="false"/>
                <w:bCs w:val="false"/>
                <w:sz w:val="20"/>
                <w:szCs w:val="20"/>
              </w:rPr>
              <w:t xml:space="preserve">EMI Planning</w:t>
            </w:r>
          </w:p>
        </w:tc>
        <w:tc>
          <w:tcPr>
            <w:tcW w:type="dxa" w:w="3800"/>
            <w:tcMar>
              <w:top w:type="dxa" w:w="100"/>
              <w:left w:type="dxa" w:w="120"/>
              <w:bottom w:type="dxa" w:w="100"/>
              <w:right w:type="dxa" w:w="120"/>
            </w:tcMar>
          </w:tcPr>
          <w:p>
            <w:pPr>
              <w:jc w:val="left"/>
            </w:pPr>
            <w:r>
              <w:rPr>
                <w:b w:val="false"/>
                <w:bCs w:val="false"/>
                <w:sz w:val="20"/>
                <w:szCs w:val="20"/>
              </w:rPr>
              <w:t xml:space="preserve">₹5,00,000 loan, 10.5% interest, 60 months</w:t>
            </w:r>
          </w:p>
        </w:tc>
        <w:tc>
          <w:tcPr>
            <w:tcW w:type="dxa" w:w="3800"/>
            <w:tcMar>
              <w:top w:type="dxa" w:w="100"/>
              <w:left w:type="dxa" w:w="120"/>
              <w:bottom w:type="dxa" w:w="100"/>
              <w:right w:type="dxa" w:w="120"/>
            </w:tcMar>
          </w:tcPr>
          <w:p>
            <w:pPr>
              <w:jc w:val="left"/>
            </w:pPr>
            <w:r>
              <w:rPr>
                <w:b w:val="false"/>
                <w:bCs w:val="false"/>
                <w:sz w:val="20"/>
                <w:szCs w:val="20"/>
              </w:rPr>
              <w:t xml:space="preserve">Exact monthly EMI shown before applying</w:t>
            </w:r>
          </w:p>
        </w:tc>
      </w:tr>
      <w:tr>
        <w:tc>
          <w:tcPr>
            <w:tcW w:type="dxa" w:w="1800"/>
            <w:shd w:fill="F5F5F5" w:val="clear"/>
            <w:tcMar>
              <w:top w:type="dxa" w:w="100"/>
              <w:left w:type="dxa" w:w="120"/>
              <w:bottom w:type="dxa" w:w="100"/>
              <w:right w:type="dxa" w:w="120"/>
            </w:tcMar>
          </w:tcPr>
          <w:p>
            <w:pPr>
              <w:jc w:val="left"/>
            </w:pPr>
            <w:r>
              <w:rPr>
                <w:b w:val="false"/>
                <w:bCs w:val="false"/>
                <w:sz w:val="20"/>
                <w:szCs w:val="20"/>
              </w:rPr>
              <w:t xml:space="preserve">Credit Improvement</w:t>
            </w:r>
          </w:p>
        </w:tc>
        <w:tc>
          <w:tcPr>
            <w:tcW w:type="dxa" w:w="3800"/>
            <w:shd w:fill="F5F5F5" w:val="clear"/>
            <w:tcMar>
              <w:top w:type="dxa" w:w="100"/>
              <w:left w:type="dxa" w:w="120"/>
              <w:bottom w:type="dxa" w:w="100"/>
              <w:right w:type="dxa" w:w="120"/>
            </w:tcMar>
          </w:tcPr>
          <w:p>
            <w:pPr>
              <w:jc w:val="left"/>
            </w:pPr>
            <w:r>
              <w:rPr>
                <w:b w:val="false"/>
                <w:bCs w:val="false"/>
                <w:sz w:val="20"/>
                <w:szCs w:val="20"/>
              </w:rPr>
              <w:t xml:space="preserve">Credit score 580</w:t>
            </w:r>
          </w:p>
        </w:tc>
        <w:tc>
          <w:tcPr>
            <w:tcW w:type="dxa" w:w="3800"/>
            <w:shd w:fill="F5F5F5" w:val="clear"/>
            <w:tcMar>
              <w:top w:type="dxa" w:w="100"/>
              <w:left w:type="dxa" w:w="120"/>
              <w:bottom w:type="dxa" w:w="100"/>
              <w:right w:type="dxa" w:w="120"/>
            </w:tcMar>
          </w:tcPr>
          <w:p>
            <w:pPr>
              <w:jc w:val="left"/>
            </w:pPr>
            <w:r>
              <w:rPr>
                <w:b w:val="false"/>
                <w:bCs w:val="false"/>
                <w:sz w:val="20"/>
                <w:szCs w:val="20"/>
              </w:rPr>
              <w:t xml:space="preserve">Classified Poor, with actionable recommendations + AI Tips follow-up</w:t>
            </w:r>
          </w:p>
        </w:tc>
      </w:tr>
    </w:tbl>
    <w:p>
      <w:pPr>
        <w:pStyle w:val="Heading1"/>
        <w:spacing w:after="200" w:before="400"/>
      </w:pPr>
      <w:r>
        <w:t xml:space="preserve">5. Technical Architecture</w:t>
      </w:r>
    </w:p>
    <w:p>
      <w:pPr>
        <w:pStyle w:val="Heading2"/>
        <w:spacing w:after="150" w:before="300"/>
      </w:pPr>
      <w:r>
        <w:t xml:space="preserve">5.1 Design Approach</w:t>
      </w:r>
    </w:p>
    <w:p>
      <w:pPr>
        <w:spacing w:after="160"/>
      </w:pPr>
      <w:r>
        <w:t xml:space="preserve">The application is a single self-contained HTML file with inline CSS and JavaScript — no build step or backend server is required to run it. This keeps the demo lightweight and lets any team member open it directly in a browser.</w:t>
      </w:r>
    </w:p>
    <w:p>
      <w:pPr>
        <w:pStyle w:val="Heading2"/>
        <w:spacing w:after="150" w:before="300"/>
      </w:pPr>
      <w:r>
        <w:t xml:space="preserve">5.2 Layout</w:t>
      </w:r>
    </w:p>
    <w:p>
      <w:pPr>
        <w:pStyle w:val="ListParagraph"/>
        <w:numPr>
          <w:ilvl w:val="0"/>
          <w:numId w:val="2"/>
        </w:numPr>
        <w:spacing w:after="90"/>
      </w:pPr>
      <w:r>
        <w:t xml:space="preserve">Header — brand mark and session-privacy note.</w:t>
      </w:r>
    </w:p>
    <w:p>
      <w:pPr>
        <w:pStyle w:val="ListParagraph"/>
        <w:numPr>
          <w:ilvl w:val="0"/>
          <w:numId w:val="2"/>
        </w:numPr>
        <w:spacing w:after="90"/>
      </w:pPr>
      <w:r>
        <w:t xml:space="preserve">Tab navigation — switches between the four tool panels without a page reload.</w:t>
      </w:r>
    </w:p>
    <w:p>
      <w:pPr>
        <w:pStyle w:val="ListParagraph"/>
        <w:numPr>
          <w:ilvl w:val="0"/>
          <w:numId w:val="2"/>
        </w:numPr>
        <w:spacing w:after="90"/>
      </w:pPr>
      <w:r>
        <w:t xml:space="preserve">Tool panels — one glass-panel card per tool, each with its own inputs, gauge, and result area.</w:t>
      </w:r>
    </w:p>
    <w:p>
      <w:pPr>
        <w:pStyle w:val="ListParagraph"/>
        <w:numPr>
          <w:ilvl w:val="0"/>
          <w:numId w:val="2"/>
        </w:numPr>
        <w:spacing w:after="90"/>
      </w:pPr>
      <w:r>
        <w:t xml:space="preserve">Shared gauge component — a CSS conic-gradient ring, reused across Eligibility (risk), Credit Score (band), and EMI (interest share), giving the app one consistent visual language.</w:t>
      </w:r>
    </w:p>
    <w:p>
      <w:pPr>
        <w:pStyle w:val="Heading2"/>
        <w:spacing w:after="150" w:before="300"/>
      </w:pPr>
      <w:r>
        <w:t xml:space="preserve">5.3 Data Flow</w:t>
      </w:r>
    </w:p>
    <w:p>
      <w:pPr>
        <w:pStyle w:val="ListParagraph"/>
        <w:numPr>
          <w:ilvl w:val="0"/>
          <w:numId w:val="3"/>
        </w:numPr>
        <w:spacing w:after="90"/>
      </w:pPr>
      <w:r>
        <w:t xml:space="preserve">User fills in a tool's form fields.</w:t>
      </w:r>
    </w:p>
    <w:p>
      <w:pPr>
        <w:pStyle w:val="ListParagraph"/>
        <w:numPr>
          <w:ilvl w:val="0"/>
          <w:numId w:val="3"/>
        </w:numPr>
        <w:spacing w:after="90"/>
      </w:pPr>
      <w:r>
        <w:t xml:space="preserve">On submit, a JavaScript handler reads the inputs and runs the relevant rule engine (Eligibility / Credit / EMI) entirely in the browser.</w:t>
      </w:r>
    </w:p>
    <w:p>
      <w:pPr>
        <w:pStyle w:val="ListParagraph"/>
        <w:numPr>
          <w:ilvl w:val="0"/>
          <w:numId w:val="3"/>
        </w:numPr>
        <w:spacing w:after="90"/>
      </w:pPr>
      <w:r>
        <w:t xml:space="preserve">Results update the shared gauge, status badge, and detail text in place.</w:t>
      </w:r>
    </w:p>
    <w:p>
      <w:pPr>
        <w:pStyle w:val="ListParagraph"/>
        <w:numPr>
          <w:ilvl w:val="0"/>
          <w:numId w:val="3"/>
        </w:numPr>
        <w:spacing w:after="90"/>
      </w:pPr>
      <w:r>
        <w:t xml:space="preserve">The Eligibility and Credit results are cached in an in-memory session object.</w:t>
      </w:r>
    </w:p>
    <w:p>
      <w:pPr>
        <w:pStyle w:val="ListParagraph"/>
        <w:numPr>
          <w:ilvl w:val="0"/>
          <w:numId w:val="3"/>
        </w:numPr>
        <w:spacing w:after="90"/>
      </w:pPr>
      <w:r>
        <w:t xml:space="preserve">If the user opens AI Tips and enables “include my latest results,” that session object is appended to the prompt sent to Claude.</w:t>
      </w:r>
    </w:p>
    <w:p>
      <w:pPr>
        <w:pStyle w:val="ListParagraph"/>
        <w:numPr>
          <w:ilvl w:val="0"/>
          <w:numId w:val="3"/>
        </w:numPr>
        <w:spacing w:after="90"/>
      </w:pPr>
      <w:r>
        <w:t xml:space="preserve">The AI Tips panel calls the Anthropic Messages API (model claude-sonnet-4-6) directly from the browser and renders the streamed-back text as a formatted tip list.</w:t>
      </w:r>
    </w:p>
    <w:p>
      <w:pPr>
        <w:pStyle w:val="Heading2"/>
        <w:spacing w:after="150" w:before="300"/>
      </w:pPr>
      <w:r>
        <w:t xml:space="preserve">5.4 Data Persistence</w:t>
      </w:r>
    </w:p>
    <w:p>
      <w:pPr>
        <w:spacing w:after="160"/>
      </w:pPr>
      <w:r>
        <w:t xml:space="preserve">In this build, all data lives in-memory for the current browser tab only and is not persisted after a page refresh — no external storage call is made. The project brief calls for Google Sheets as the persistence layer; wiring that in requires a deployed Google Apps Script Web App URL (with its own auth), which should be added as a follow-up integration once that endpoint is available to the team.</w:t>
      </w:r>
    </w:p>
    <w:p>
      <w:pPr>
        <w:pStyle w:val="Heading1"/>
        <w:spacing w:after="200" w:before="400"/>
      </w:pPr>
      <w:r>
        <w:t xml:space="preserve">6. Tech Stack &amp; Skills Used</w:t>
      </w:r>
    </w:p>
    <w:p>
      <w:pPr>
        <w:pStyle w:val="ListParagraph"/>
        <w:numPr>
          <w:ilvl w:val="0"/>
          <w:numId w:val="2"/>
        </w:numPr>
        <w:spacing w:after="90"/>
      </w:pPr>
      <w:r>
        <w:rPr>
          <w:b/>
          <w:bCs/>
        </w:rPr>
        <w:t xml:space="preserve">Structure:</w:t>
      </w:r>
      <w:r>
        <w:t xml:space="preserve"> HTML5</w:t>
      </w:r>
    </w:p>
    <w:p>
      <w:pPr>
        <w:pStyle w:val="ListParagraph"/>
        <w:numPr>
          <w:ilvl w:val="0"/>
          <w:numId w:val="2"/>
        </w:numPr>
        <w:spacing w:after="90"/>
      </w:pPr>
      <w:r>
        <w:rPr>
          <w:b/>
          <w:bCs/>
        </w:rPr>
        <w:t xml:space="preserve">Styling:</w:t>
      </w:r>
      <w:r>
        <w:t xml:space="preserve"> CSS3 (Custom Properties, conic-gradient gauges, glassmorphism, responsive layout)</w:t>
      </w:r>
    </w:p>
    <w:p>
      <w:pPr>
        <w:pStyle w:val="ListParagraph"/>
        <w:numPr>
          <w:ilvl w:val="0"/>
          <w:numId w:val="2"/>
        </w:numPr>
        <w:spacing w:after="90"/>
      </w:pPr>
      <w:r>
        <w:rPr>
          <w:b/>
          <w:bCs/>
        </w:rPr>
        <w:t xml:space="preserve">Behavior:</w:t>
      </w:r>
      <w:r>
        <w:t xml:space="preserve"> Vanilla JavaScript (DOM APIs, Fetch API, in-memory state)</w:t>
      </w:r>
    </w:p>
    <w:p>
      <w:pPr>
        <w:pStyle w:val="ListParagraph"/>
        <w:numPr>
          <w:ilvl w:val="0"/>
          <w:numId w:val="2"/>
        </w:numPr>
        <w:spacing w:after="90"/>
      </w:pPr>
      <w:r>
        <w:rPr>
          <w:b/>
          <w:bCs/>
        </w:rPr>
        <w:t xml:space="preserve">Generative AI:</w:t>
      </w:r>
      <w:r>
        <w:t xml:space="preserve"> Anthropic Claude API (claude-sonnet-4-6) for the AI Financial Tips feature</w:t>
      </w:r>
    </w:p>
    <w:p>
      <w:pPr>
        <w:pStyle w:val="ListParagraph"/>
        <w:numPr>
          <w:ilvl w:val="0"/>
          <w:numId w:val="2"/>
        </w:numPr>
        <w:spacing w:after="90"/>
      </w:pPr>
      <w:r>
        <w:rPr>
          <w:b/>
          <w:bCs/>
        </w:rPr>
        <w:t xml:space="preserve">Typography:</w:t>
      </w:r>
      <w:r>
        <w:t xml:space="preserve"> Google Fonts — Space Grotesk (display), Inter (body), JetBrains Mono (data/numbers)</w:t>
      </w:r>
    </w:p>
    <w:p>
      <w:pPr>
        <w:pStyle w:val="ListParagraph"/>
        <w:numPr>
          <w:ilvl w:val="0"/>
          <w:numId w:val="2"/>
        </w:numPr>
        <w:spacing w:after="90"/>
      </w:pPr>
      <w:r>
        <w:rPr>
          <w:b/>
          <w:bCs/>
        </w:rPr>
        <w:t xml:space="preserve">Version control:</w:t>
      </w:r>
      <w:r>
        <w:t xml:space="preserve"> Git, for source control across the team</w:t>
      </w:r>
    </w:p>
    <w:p>
      <w:pPr>
        <w:pStyle w:val="Heading1"/>
        <w:spacing w:after="200" w:before="400"/>
      </w:pPr>
      <w:r>
        <w:t xml:space="preserve">7. Setup &amp; Usage Instructions</w:t>
      </w:r>
    </w:p>
    <w:p>
      <w:pPr>
        <w:pStyle w:val="Heading2"/>
        <w:spacing w:after="150" w:before="300"/>
      </w:pPr>
      <w:r>
        <w:t xml:space="preserve">7.1 Running the app</w:t>
      </w:r>
    </w:p>
    <w:p>
      <w:pPr>
        <w:pStyle w:val="ListParagraph"/>
        <w:numPr>
          <w:ilvl w:val="0"/>
          <w:numId w:val="3"/>
        </w:numPr>
        <w:spacing w:after="90"/>
      </w:pPr>
      <w:r>
        <w:t xml:space="preserve">Download finwise-ai.html.</w:t>
      </w:r>
    </w:p>
    <w:p>
      <w:pPr>
        <w:pStyle w:val="ListParagraph"/>
        <w:numPr>
          <w:ilvl w:val="0"/>
          <w:numId w:val="3"/>
        </w:numPr>
        <w:spacing w:after="90"/>
      </w:pPr>
      <w:r>
        <w:t xml:space="preserve">Open it directly in any modern Chromium-based browser (Chrome or Edge recommended for full conic-gradient and CSS custom-property-animation support).</w:t>
      </w:r>
    </w:p>
    <w:p>
      <w:pPr>
        <w:pStyle w:val="ListParagraph"/>
        <w:numPr>
          <w:ilvl w:val="0"/>
          <w:numId w:val="3"/>
        </w:numPr>
        <w:spacing w:after="90"/>
      </w:pPr>
      <w:r>
        <w:t xml:space="preserve">No installation, server, or build step is required.</w:t>
      </w:r>
    </w:p>
    <w:p>
      <w:pPr>
        <w:pStyle w:val="Heading2"/>
        <w:spacing w:after="150" w:before="300"/>
      </w:pPr>
      <w:r>
        <w:t xml:space="preserve">7.2 Using the AI Financial Tips tool</w:t>
      </w:r>
    </w:p>
    <w:p>
      <w:pPr>
        <w:spacing w:after="160"/>
      </w:pPr>
      <w:r>
        <w:t xml:space="preserve">This tool calls the Anthropic API directly from the browser. When embedded in an environment that already provisions API access (such as a Claude-hosted artifact), it works out of the box. For a standalone deployment outside that environment, route the request through your own backend proxy that holds the API key — never ship an Anthropic API key in client-side JavaScript for a public deployment.</w:t>
      </w:r>
    </w:p>
    <w:p>
      <w:pPr>
        <w:pStyle w:val="Heading2"/>
        <w:spacing w:after="150" w:before="300"/>
      </w:pPr>
      <w:r>
        <w:t xml:space="preserve">7.3 Repository structure (suggested)</w:t>
      </w:r>
    </w:p>
    <w:p>
      <w:pPr>
        <w:shd w:fill="F0F0F0" w:val="clear"/>
        <w:spacing w:after="20"/>
      </w:pPr>
      <w:r>
        <w:rPr>
          <w:rFonts w:ascii="Consolas" w:cs="Consolas" w:eastAsia="Consolas" w:hAnsi="Consolas"/>
          <w:sz w:val="19"/>
          <w:szCs w:val="19"/>
        </w:rPr>
        <w:t xml:space="preserve">finwise-ai/</w:t>
      </w:r>
    </w:p>
    <w:p>
      <w:pPr>
        <w:shd w:fill="F0F0F0" w:val="clear"/>
        <w:spacing w:after="20"/>
      </w:pPr>
      <w:r>
        <w:rPr>
          <w:rFonts w:ascii="Consolas" w:cs="Consolas" w:eastAsia="Consolas" w:hAnsi="Consolas"/>
          <w:sz w:val="19"/>
          <w:szCs w:val="19"/>
        </w:rPr>
        <w:t xml:space="preserve">  index.html          -&gt; the full application (structure, styles, logic)</w:t>
      </w:r>
    </w:p>
    <w:p>
      <w:pPr>
        <w:shd w:fill="F0F0F0" w:val="clear"/>
        <w:spacing w:after="20"/>
      </w:pPr>
      <w:r>
        <w:rPr>
          <w:rFonts w:ascii="Consolas" w:cs="Consolas" w:eastAsia="Consolas" w:hAnsi="Consolas"/>
          <w:sz w:val="19"/>
          <w:szCs w:val="19"/>
        </w:rPr>
        <w:t xml:space="preserve">  README.md           -&gt; setup + usage notes</w:t>
      </w:r>
    </w:p>
    <w:p>
      <w:pPr>
        <w:shd w:fill="F0F0F0" w:val="clear"/>
        <w:spacing w:after="20"/>
      </w:pPr>
      <w:r>
        <w:rPr>
          <w:rFonts w:ascii="Consolas" w:cs="Consolas" w:eastAsia="Consolas" w:hAnsi="Consolas"/>
          <w:sz w:val="19"/>
          <w:szCs w:val="19"/>
        </w:rPr>
        <w:t xml:space="preserve">  /docs</w:t>
      </w:r>
    </w:p>
    <w:p>
      <w:pPr>
        <w:shd w:fill="F0F0F0" w:val="clear"/>
        <w:spacing w:after="20"/>
      </w:pPr>
      <w:r>
        <w:rPr>
          <w:rFonts w:ascii="Consolas" w:cs="Consolas" w:eastAsia="Consolas" w:hAnsi="Consolas"/>
          <w:sz w:val="19"/>
          <w:szCs w:val="19"/>
        </w:rPr>
        <w:t xml:space="preserve">    documentation.docx</w:t>
      </w:r>
    </w:p>
    <w:p>
      <w:pPr>
        <w:shd w:fill="F0F0F0" w:val="clear"/>
        <w:spacing w:after="20"/>
      </w:pPr>
      <w:r>
        <w:rPr>
          <w:rFonts w:ascii="Consolas" w:cs="Consolas" w:eastAsia="Consolas" w:hAnsi="Consolas"/>
          <w:sz w:val="19"/>
          <w:szCs w:val="19"/>
        </w:rPr>
        <w:t xml:space="preserve">    demo-script.md</w:t>
      </w:r>
    </w:p>
    <w:p>
      <w:pPr>
        <w:spacing w:after="200"/>
      </w:pPr>
    </w:p>
    <w:p>
      <w:pPr>
        <w:pStyle w:val="Heading1"/>
        <w:spacing w:after="200" w:before="400"/>
      </w:pPr>
      <w:r>
        <w:t xml:space="preserve">8. Known Limitations &amp; Future Scope</w:t>
      </w:r>
    </w:p>
    <w:p>
      <w:pPr>
        <w:pStyle w:val="ListParagraph"/>
        <w:numPr>
          <w:ilvl w:val="0"/>
          <w:numId w:val="2"/>
        </w:numPr>
        <w:spacing w:after="90"/>
      </w:pPr>
      <w:r>
        <w:rPr>
          <w:b/>
          <w:bCs/>
        </w:rPr>
        <w:t xml:space="preserve">Data storage —</w:t>
      </w:r>
      <w:r>
        <w:t xml:space="preserve"> Persistence: currently session-only; Google Sheets (or another database) integration is pending a deployed endpoint.</w:t>
      </w:r>
    </w:p>
    <w:p>
      <w:pPr>
        <w:pStyle w:val="ListParagraph"/>
        <w:numPr>
          <w:ilvl w:val="0"/>
          <w:numId w:val="2"/>
        </w:numPr>
        <w:spacing w:after="90"/>
      </w:pPr>
      <w:r>
        <w:rPr>
          <w:b/>
          <w:bCs/>
        </w:rPr>
        <w:t xml:space="preserve">Real bureau data —</w:t>
      </w:r>
      <w:r>
        <w:t xml:space="preserve"> Rates and FOIR caps are illustrative placeholders for the demo, not sourced from a live bureau or lender API.</w:t>
      </w:r>
    </w:p>
    <w:p>
      <w:pPr>
        <w:pStyle w:val="ListParagraph"/>
        <w:numPr>
          <w:ilvl w:val="0"/>
          <w:numId w:val="2"/>
        </w:numPr>
        <w:spacing w:after="90"/>
      </w:pPr>
      <w:r>
        <w:rPr>
          <w:b/>
          <w:bCs/>
        </w:rPr>
        <w:t xml:space="preserve">API key exposure —</w:t>
      </w:r>
      <w:r>
        <w:t xml:space="preserve"> The AI Tips call currently runs client-side; a production deployment should proxy it through a backend to protect the API key.</w:t>
      </w:r>
    </w:p>
    <w:p>
      <w:pPr>
        <w:pStyle w:val="ListParagraph"/>
        <w:numPr>
          <w:ilvl w:val="0"/>
          <w:numId w:val="2"/>
        </w:numPr>
        <w:spacing w:after="90"/>
      </w:pPr>
      <w:r>
        <w:rPr>
          <w:b/>
          <w:bCs/>
        </w:rPr>
        <w:t xml:space="preserve">Planned next —</w:t>
      </w:r>
      <w:r>
        <w:t xml:space="preserve"> Support for joint applicants, existing-customer offers, and document upload/OCR based verification.</w:t>
      </w:r>
    </w:p>
    <w:p>
      <w:pPr>
        <w:pStyle w:val="Heading1"/>
        <w:spacing w:after="200" w:before="400"/>
      </w:pPr>
      <w:r>
        <w:t xml:space="preserve">9. Demo Video Script (Storyboard)</w:t>
      </w:r>
    </w:p>
    <w:p>
      <w:pPr>
        <w:spacing w:after="160"/>
      </w:pPr>
      <w:r>
        <w:t xml:space="preserve">A ~3-minute walkthrough script for recording the project demo. Use any screen recorder (OBS, Loom, Windows Game Bar, QuickTime) at 1080p, capturing the browser tab only.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800"/>
        <w:gridCol w:w="3300"/>
      </w:tblGrid>
      <w:tr>
        <w:tc>
          <w:tcPr>
            <w:tcW w:type="dxa" w:w="900"/>
            <w:shd w:fill="0F1728" w:val="clear"/>
            <w:tcMar>
              <w:top w:type="dxa" w:w="100"/>
              <w:left w:type="dxa" w:w="120"/>
              <w:bottom w:type="dxa" w:w="100"/>
              <w:right w:type="dxa" w:w="120"/>
            </w:tcMar>
          </w:tcPr>
          <w:p>
            <w:pPr>
              <w:jc w:val="left"/>
            </w:pPr>
            <w:r>
              <w:rPr>
                <w:b/>
                <w:bCs/>
                <w:color w:val="FFFFFF"/>
                <w:sz w:val="20"/>
                <w:szCs w:val="20"/>
              </w:rPr>
              <w:t xml:space="preserve">Time</w:t>
            </w:r>
          </w:p>
        </w:tc>
        <w:tc>
          <w:tcPr>
            <w:tcW w:type="dxa" w:w="1400"/>
            <w:shd w:fill="0F1728" w:val="clear"/>
            <w:tcMar>
              <w:top w:type="dxa" w:w="100"/>
              <w:left w:type="dxa" w:w="120"/>
              <w:bottom w:type="dxa" w:w="100"/>
              <w:right w:type="dxa" w:w="120"/>
            </w:tcMar>
          </w:tcPr>
          <w:p>
            <w:pPr>
              <w:jc w:val="left"/>
            </w:pPr>
            <w:r>
              <w:rPr>
                <w:b/>
                <w:bCs/>
                <w:color w:val="FFFFFF"/>
                <w:sz w:val="20"/>
                <w:szCs w:val="20"/>
              </w:rPr>
              <w:t xml:space="preserve">Screen</w:t>
            </w:r>
          </w:p>
        </w:tc>
        <w:tc>
          <w:tcPr>
            <w:tcW w:type="dxa" w:w="3800"/>
            <w:shd w:fill="0F1728" w:val="clear"/>
            <w:tcMar>
              <w:top w:type="dxa" w:w="100"/>
              <w:left w:type="dxa" w:w="120"/>
              <w:bottom w:type="dxa" w:w="100"/>
              <w:right w:type="dxa" w:w="120"/>
            </w:tcMar>
          </w:tcPr>
          <w:p>
            <w:pPr>
              <w:jc w:val="left"/>
            </w:pPr>
            <w:r>
              <w:rPr>
                <w:b/>
                <w:bCs/>
                <w:color w:val="FFFFFF"/>
                <w:sz w:val="20"/>
                <w:szCs w:val="20"/>
              </w:rPr>
              <w:t xml:space="preserve">Action</w:t>
            </w:r>
          </w:p>
        </w:tc>
        <w:tc>
          <w:tcPr>
            <w:tcW w:type="dxa" w:w="3300"/>
            <w:shd w:fill="0F1728" w:val="clear"/>
            <w:tcMar>
              <w:top w:type="dxa" w:w="100"/>
              <w:left w:type="dxa" w:w="120"/>
              <w:bottom w:type="dxa" w:w="100"/>
              <w:right w:type="dxa" w:w="120"/>
            </w:tcMar>
          </w:tcPr>
          <w:p>
            <w:pPr>
              <w:jc w:val="left"/>
            </w:pPr>
            <w:r>
              <w:rPr>
                <w:b/>
                <w:bCs/>
                <w:color w:val="FFFFFF"/>
                <w:sz w:val="20"/>
                <w:szCs w:val="20"/>
              </w:rPr>
              <w:t xml:space="preserve">Suggested narration</w:t>
            </w:r>
          </w:p>
        </w:tc>
      </w:tr>
      <w:tr>
        <w:tc>
          <w:tcPr>
            <w:tcW w:type="dxa" w:w="900"/>
            <w:tcMar>
              <w:top w:type="dxa" w:w="100"/>
              <w:left w:type="dxa" w:w="120"/>
              <w:bottom w:type="dxa" w:w="100"/>
              <w:right w:type="dxa" w:w="120"/>
            </w:tcMar>
          </w:tcPr>
          <w:p>
            <w:pPr>
              <w:jc w:val="left"/>
            </w:pPr>
            <w:r>
              <w:rPr>
                <w:b w:val="false"/>
                <w:bCs w:val="false"/>
                <w:sz w:val="20"/>
                <w:szCs w:val="20"/>
              </w:rPr>
              <w:t xml:space="preserve">0:00–0:15</w:t>
            </w:r>
          </w:p>
        </w:tc>
        <w:tc>
          <w:tcPr>
            <w:tcW w:type="dxa" w:w="1400"/>
            <w:tcMar>
              <w:top w:type="dxa" w:w="100"/>
              <w:left w:type="dxa" w:w="120"/>
              <w:bottom w:type="dxa" w:w="100"/>
              <w:right w:type="dxa" w:w="120"/>
            </w:tcMar>
          </w:tcPr>
          <w:p>
            <w:pPr>
              <w:jc w:val="left"/>
            </w:pPr>
            <w:r>
              <w:rPr>
                <w:b w:val="false"/>
                <w:bCs w:val="false"/>
                <w:sz w:val="20"/>
                <w:szCs w:val="20"/>
              </w:rPr>
              <w:t xml:space="preserve">Landing / Header</w:t>
            </w:r>
          </w:p>
        </w:tc>
        <w:tc>
          <w:tcPr>
            <w:tcW w:type="dxa" w:w="3800"/>
            <w:tcMar>
              <w:top w:type="dxa" w:w="100"/>
              <w:left w:type="dxa" w:w="120"/>
              <w:bottom w:type="dxa" w:w="100"/>
              <w:right w:type="dxa" w:w="120"/>
            </w:tcMar>
          </w:tcPr>
          <w:p>
            <w:pPr>
              <w:jc w:val="left"/>
            </w:pPr>
            <w:r>
              <w:rPr>
                <w:b w:val="false"/>
                <w:bCs w:val="false"/>
                <w:sz w:val="20"/>
                <w:szCs w:val="20"/>
              </w:rPr>
              <w:t xml:space="preserve">Open the app, let the header and tab bar sit on screen for a beat.</w:t>
            </w:r>
          </w:p>
        </w:tc>
        <w:tc>
          <w:tcPr>
            <w:tcW w:type="dxa" w:w="3300"/>
            <w:tcMar>
              <w:top w:type="dxa" w:w="100"/>
              <w:left w:type="dxa" w:w="120"/>
              <w:bottom w:type="dxa" w:w="100"/>
              <w:right w:type="dxa" w:w="120"/>
            </w:tcMar>
          </w:tcPr>
          <w:p>
            <w:pPr>
              <w:jc w:val="left"/>
            </w:pPr>
            <w:r>
              <w:rPr>
                <w:b w:val="false"/>
                <w:bCs w:val="false"/>
                <w:sz w:val="20"/>
                <w:szCs w:val="20"/>
              </w:rPr>
              <w:t xml:space="preserve">“This is FinWise AI — a single platform that brings together loan eligibility, credit analysis, EMI planning, and AI-driven financial advice.”</w:t>
            </w:r>
          </w:p>
        </w:tc>
      </w:tr>
      <w:tr>
        <w:tc>
          <w:tcPr>
            <w:tcW w:type="dxa" w:w="900"/>
            <w:shd w:fill="F5F5F5" w:val="clear"/>
            <w:tcMar>
              <w:top w:type="dxa" w:w="100"/>
              <w:left w:type="dxa" w:w="120"/>
              <w:bottom w:type="dxa" w:w="100"/>
              <w:right w:type="dxa" w:w="120"/>
            </w:tcMar>
          </w:tcPr>
          <w:p>
            <w:pPr>
              <w:jc w:val="left"/>
            </w:pPr>
            <w:r>
              <w:rPr>
                <w:b w:val="false"/>
                <w:bCs w:val="false"/>
                <w:sz w:val="20"/>
                <w:szCs w:val="20"/>
              </w:rPr>
              <w:t xml:space="preserve">0:15–0:45</w:t>
            </w:r>
          </w:p>
        </w:tc>
        <w:tc>
          <w:tcPr>
            <w:tcW w:type="dxa" w:w="1400"/>
            <w:shd w:fill="F5F5F5" w:val="clear"/>
            <w:tcMar>
              <w:top w:type="dxa" w:w="100"/>
              <w:left w:type="dxa" w:w="120"/>
              <w:bottom w:type="dxa" w:w="100"/>
              <w:right w:type="dxa" w:w="120"/>
            </w:tcMar>
          </w:tcPr>
          <w:p>
            <w:pPr>
              <w:jc w:val="left"/>
            </w:pPr>
            <w:r>
              <w:rPr>
                <w:b w:val="false"/>
                <w:bCs w:val="false"/>
                <w:sz w:val="20"/>
                <w:szCs w:val="20"/>
              </w:rPr>
              <w:t xml:space="preserve">Loan Eligibility tab</w:t>
            </w:r>
          </w:p>
        </w:tc>
        <w:tc>
          <w:tcPr>
            <w:tcW w:type="dxa" w:w="3800"/>
            <w:shd w:fill="F5F5F5" w:val="clear"/>
            <w:tcMar>
              <w:top w:type="dxa" w:w="100"/>
              <w:left w:type="dxa" w:w="120"/>
              <w:bottom w:type="dxa" w:w="100"/>
              <w:right w:type="dxa" w:w="120"/>
            </w:tcMar>
          </w:tcPr>
          <w:p>
            <w:pPr>
              <w:jc w:val="left"/>
            </w:pPr>
            <w:r>
              <w:rPr>
                <w:b w:val="false"/>
                <w:bCs w:val="false"/>
                <w:sz w:val="20"/>
                <w:szCs w:val="20"/>
              </w:rPr>
              <w:t xml:space="preserve">Enter salary ₹45,000, EMI ₹0, credit score 730, tenure 60 months. Click Check eligibility. Let the risk gauge animate in.</w:t>
            </w:r>
          </w:p>
        </w:tc>
        <w:tc>
          <w:tcPr>
            <w:tcW w:type="dxa" w:w="3300"/>
            <w:shd w:fill="F5F5F5" w:val="clear"/>
            <w:tcMar>
              <w:top w:type="dxa" w:w="100"/>
              <w:left w:type="dxa" w:w="120"/>
              <w:bottom w:type="dxa" w:w="100"/>
              <w:right w:type="dxa" w:w="120"/>
            </w:tcMar>
          </w:tcPr>
          <w:p>
            <w:pPr>
              <w:jc w:val="left"/>
            </w:pPr>
            <w:r>
              <w:rPr>
                <w:b w:val="false"/>
                <w:bCs w:val="false"/>
                <w:sz w:val="20"/>
                <w:szCs w:val="20"/>
              </w:rPr>
              <w:t xml:space="preserve">“A salaried user enters their income details. FinWise instantly calculates eligibility, the loan amount they qualify for, and a risk rating — all client-side, no waiting.”</w:t>
            </w:r>
          </w:p>
        </w:tc>
      </w:tr>
      <w:tr>
        <w:tc>
          <w:tcPr>
            <w:tcW w:type="dxa" w:w="900"/>
            <w:tcMar>
              <w:top w:type="dxa" w:w="100"/>
              <w:left w:type="dxa" w:w="120"/>
              <w:bottom w:type="dxa" w:w="100"/>
              <w:right w:type="dxa" w:w="120"/>
            </w:tcMar>
          </w:tcPr>
          <w:p>
            <w:pPr>
              <w:jc w:val="left"/>
            </w:pPr>
            <w:r>
              <w:rPr>
                <w:b w:val="false"/>
                <w:bCs w:val="false"/>
                <w:sz w:val="20"/>
                <w:szCs w:val="20"/>
              </w:rPr>
              <w:t xml:space="preserve">0:45–1:10</w:t>
            </w:r>
          </w:p>
        </w:tc>
        <w:tc>
          <w:tcPr>
            <w:tcW w:type="dxa" w:w="1400"/>
            <w:tcMar>
              <w:top w:type="dxa" w:w="100"/>
              <w:left w:type="dxa" w:w="120"/>
              <w:bottom w:type="dxa" w:w="100"/>
              <w:right w:type="dxa" w:w="120"/>
            </w:tcMar>
          </w:tcPr>
          <w:p>
            <w:pPr>
              <w:jc w:val="left"/>
            </w:pPr>
            <w:r>
              <w:rPr>
                <w:b w:val="false"/>
                <w:bCs w:val="false"/>
                <w:sz w:val="20"/>
                <w:szCs w:val="20"/>
              </w:rPr>
              <w:t xml:space="preserve">Loan Eligibility tab (2nd case)</w:t>
            </w:r>
          </w:p>
        </w:tc>
        <w:tc>
          <w:tcPr>
            <w:tcW w:type="dxa" w:w="3800"/>
            <w:tcMar>
              <w:top w:type="dxa" w:w="100"/>
              <w:left w:type="dxa" w:w="120"/>
              <w:bottom w:type="dxa" w:w="100"/>
              <w:right w:type="dxa" w:w="120"/>
            </w:tcMar>
          </w:tcPr>
          <w:p>
            <w:pPr>
              <w:jc w:val="left"/>
            </w:pPr>
            <w:r>
              <w:rPr>
                <w:b w:val="false"/>
                <w:bCs w:val="false"/>
                <w:sz w:val="20"/>
                <w:szCs w:val="20"/>
              </w:rPr>
              <w:t xml:space="preserve">Change inputs to salary ₹22,000, EMI ₹18,000, credit 620. Show the rejection and High risk badge.</w:t>
            </w:r>
          </w:p>
        </w:tc>
        <w:tc>
          <w:tcPr>
            <w:tcW w:type="dxa" w:w="3300"/>
            <w:tcMar>
              <w:top w:type="dxa" w:w="100"/>
              <w:left w:type="dxa" w:w="120"/>
              <w:bottom w:type="dxa" w:w="100"/>
              <w:right w:type="dxa" w:w="120"/>
            </w:tcMar>
          </w:tcPr>
          <w:p>
            <w:pPr>
              <w:jc w:val="left"/>
            </w:pPr>
            <w:r>
              <w:rPr>
                <w:b w:val="false"/>
                <w:bCs w:val="false"/>
                <w:sz w:val="20"/>
                <w:szCs w:val="20"/>
              </w:rPr>
              <w:t xml:space="preserve">“For a higher-risk profile, the same engine flags the application and points the user toward the Credit Score Analyzer instead of a flat rejection.”</w:t>
            </w:r>
          </w:p>
        </w:tc>
      </w:tr>
      <w:tr>
        <w:tc>
          <w:tcPr>
            <w:tcW w:type="dxa" w:w="900"/>
            <w:shd w:fill="F5F5F5" w:val="clear"/>
            <w:tcMar>
              <w:top w:type="dxa" w:w="100"/>
              <w:left w:type="dxa" w:w="120"/>
              <w:bottom w:type="dxa" w:w="100"/>
              <w:right w:type="dxa" w:w="120"/>
            </w:tcMar>
          </w:tcPr>
          <w:p>
            <w:pPr>
              <w:jc w:val="left"/>
            </w:pPr>
            <w:r>
              <w:rPr>
                <w:b w:val="false"/>
                <w:bCs w:val="false"/>
                <w:sz w:val="20"/>
                <w:szCs w:val="20"/>
              </w:rPr>
              <w:t xml:space="preserve">1:10–1:35</w:t>
            </w:r>
          </w:p>
        </w:tc>
        <w:tc>
          <w:tcPr>
            <w:tcW w:type="dxa" w:w="1400"/>
            <w:shd w:fill="F5F5F5" w:val="clear"/>
            <w:tcMar>
              <w:top w:type="dxa" w:w="100"/>
              <w:left w:type="dxa" w:w="120"/>
              <w:bottom w:type="dxa" w:w="100"/>
              <w:right w:type="dxa" w:w="120"/>
            </w:tcMar>
          </w:tcPr>
          <w:p>
            <w:pPr>
              <w:jc w:val="left"/>
            </w:pPr>
            <w:r>
              <w:rPr>
                <w:b w:val="false"/>
                <w:bCs w:val="false"/>
                <w:sz w:val="20"/>
                <w:szCs w:val="20"/>
              </w:rPr>
              <w:t xml:space="preserve">Credit Score tab</w:t>
            </w:r>
          </w:p>
        </w:tc>
        <w:tc>
          <w:tcPr>
            <w:tcW w:type="dxa" w:w="3800"/>
            <w:shd w:fill="F5F5F5" w:val="clear"/>
            <w:tcMar>
              <w:top w:type="dxa" w:w="100"/>
              <w:left w:type="dxa" w:w="120"/>
              <w:bottom w:type="dxa" w:w="100"/>
              <w:right w:type="dxa" w:w="120"/>
            </w:tcMar>
          </w:tcPr>
          <w:p>
            <w:pPr>
              <w:jc w:val="left"/>
            </w:pPr>
            <w:r>
              <w:rPr>
                <w:b w:val="false"/>
                <w:bCs w:val="false"/>
                <w:sz w:val="20"/>
                <w:szCs w:val="20"/>
              </w:rPr>
              <w:t xml:space="preserve">Enter score 580. Show band classification (Poor) and the recommendation list.</w:t>
            </w:r>
          </w:p>
        </w:tc>
        <w:tc>
          <w:tcPr>
            <w:tcW w:type="dxa" w:w="3300"/>
            <w:shd w:fill="F5F5F5" w:val="clear"/>
            <w:tcMar>
              <w:top w:type="dxa" w:w="100"/>
              <w:left w:type="dxa" w:w="120"/>
              <w:bottom w:type="dxa" w:w="100"/>
              <w:right w:type="dxa" w:w="120"/>
            </w:tcMar>
          </w:tcPr>
          <w:p>
            <w:pPr>
              <w:jc w:val="left"/>
            </w:pPr>
            <w:r>
              <w:rPr>
                <w:b w:val="false"/>
                <w:bCs w:val="false"/>
                <w:sz w:val="20"/>
                <w:szCs w:val="20"/>
              </w:rPr>
              <w:t xml:space="preserve">“The Credit Score Analyzer classifies the score into a band and gives specific, actionable steps to improve it.”</w:t>
            </w:r>
          </w:p>
        </w:tc>
      </w:tr>
      <w:tr>
        <w:tc>
          <w:tcPr>
            <w:tcW w:type="dxa" w:w="900"/>
            <w:tcMar>
              <w:top w:type="dxa" w:w="100"/>
              <w:left w:type="dxa" w:w="120"/>
              <w:bottom w:type="dxa" w:w="100"/>
              <w:right w:type="dxa" w:w="120"/>
            </w:tcMar>
          </w:tcPr>
          <w:p>
            <w:pPr>
              <w:jc w:val="left"/>
            </w:pPr>
            <w:r>
              <w:rPr>
                <w:b w:val="false"/>
                <w:bCs w:val="false"/>
                <w:sz w:val="20"/>
                <w:szCs w:val="20"/>
              </w:rPr>
              <w:t xml:space="preserve">1:35–2:00</w:t>
            </w:r>
          </w:p>
        </w:tc>
        <w:tc>
          <w:tcPr>
            <w:tcW w:type="dxa" w:w="1400"/>
            <w:tcMar>
              <w:top w:type="dxa" w:w="100"/>
              <w:left w:type="dxa" w:w="120"/>
              <w:bottom w:type="dxa" w:w="100"/>
              <w:right w:type="dxa" w:w="120"/>
            </w:tcMar>
          </w:tcPr>
          <w:p>
            <w:pPr>
              <w:jc w:val="left"/>
            </w:pPr>
            <w:r>
              <w:rPr>
                <w:b w:val="false"/>
                <w:bCs w:val="false"/>
                <w:sz w:val="20"/>
                <w:szCs w:val="20"/>
              </w:rPr>
              <w:t xml:space="preserve">EMI Calculator tab</w:t>
            </w:r>
          </w:p>
        </w:tc>
        <w:tc>
          <w:tcPr>
            <w:tcW w:type="dxa" w:w="3800"/>
            <w:tcMar>
              <w:top w:type="dxa" w:w="100"/>
              <w:left w:type="dxa" w:w="120"/>
              <w:bottom w:type="dxa" w:w="100"/>
              <w:right w:type="dxa" w:w="120"/>
            </w:tcMar>
          </w:tcPr>
          <w:p>
            <w:pPr>
              <w:jc w:val="left"/>
            </w:pPr>
            <w:r>
              <w:rPr>
                <w:b w:val="false"/>
                <w:bCs w:val="false"/>
                <w:sz w:val="20"/>
                <w:szCs w:val="20"/>
              </w:rPr>
              <w:t xml:space="preserve">Enter ₹5,00,000, 10.5%, 60 months. Show EMI, total interest, and the principal/interest split bar.</w:t>
            </w:r>
          </w:p>
        </w:tc>
        <w:tc>
          <w:tcPr>
            <w:tcW w:type="dxa" w:w="3300"/>
            <w:tcMar>
              <w:top w:type="dxa" w:w="100"/>
              <w:left w:type="dxa" w:w="120"/>
              <w:bottom w:type="dxa" w:w="100"/>
              <w:right w:type="dxa" w:w="120"/>
            </w:tcMar>
          </w:tcPr>
          <w:p>
            <w:pPr>
              <w:jc w:val="left"/>
            </w:pPr>
            <w:r>
              <w:rPr>
                <w:b w:val="false"/>
                <w:bCs w:val="false"/>
                <w:sz w:val="20"/>
                <w:szCs w:val="20"/>
              </w:rPr>
              <w:t xml:space="preserve">“Before applying, users can plan the exact monthly outflow with the EMI Calculator, including a clear principal-versus-interest breakdown.”</w:t>
            </w:r>
          </w:p>
        </w:tc>
      </w:tr>
      <w:tr>
        <w:tc>
          <w:tcPr>
            <w:tcW w:type="dxa" w:w="900"/>
            <w:shd w:fill="F5F5F5" w:val="clear"/>
            <w:tcMar>
              <w:top w:type="dxa" w:w="100"/>
              <w:left w:type="dxa" w:w="120"/>
              <w:bottom w:type="dxa" w:w="100"/>
              <w:right w:type="dxa" w:w="120"/>
            </w:tcMar>
          </w:tcPr>
          <w:p>
            <w:pPr>
              <w:jc w:val="left"/>
            </w:pPr>
            <w:r>
              <w:rPr>
                <w:b w:val="false"/>
                <w:bCs w:val="false"/>
                <w:sz w:val="20"/>
                <w:szCs w:val="20"/>
              </w:rPr>
              <w:t xml:space="preserve">2:00–2:40</w:t>
            </w:r>
          </w:p>
        </w:tc>
        <w:tc>
          <w:tcPr>
            <w:tcW w:type="dxa" w:w="1400"/>
            <w:shd w:fill="F5F5F5" w:val="clear"/>
            <w:tcMar>
              <w:top w:type="dxa" w:w="100"/>
              <w:left w:type="dxa" w:w="120"/>
              <w:bottom w:type="dxa" w:w="100"/>
              <w:right w:type="dxa" w:w="120"/>
            </w:tcMar>
          </w:tcPr>
          <w:p>
            <w:pPr>
              <w:jc w:val="left"/>
            </w:pPr>
            <w:r>
              <w:rPr>
                <w:b w:val="false"/>
                <w:bCs w:val="false"/>
                <w:sz w:val="20"/>
                <w:szCs w:val="20"/>
              </w:rPr>
              <w:t xml:space="preserve">AI Tips tab</w:t>
            </w:r>
          </w:p>
        </w:tc>
        <w:tc>
          <w:tcPr>
            <w:tcW w:type="dxa" w:w="3800"/>
            <w:shd w:fill="F5F5F5" w:val="clear"/>
            <w:tcMar>
              <w:top w:type="dxa" w:w="100"/>
              <w:left w:type="dxa" w:w="120"/>
              <w:bottom w:type="dxa" w:w="100"/>
              <w:right w:type="dxa" w:w="120"/>
            </w:tcMar>
          </w:tcPr>
          <w:p>
            <w:pPr>
              <w:jc w:val="left"/>
            </w:pPr>
            <w:r>
              <w:rPr>
                <w:b w:val="false"/>
                <w:bCs w:val="false"/>
                <w:sz w:val="20"/>
                <w:szCs w:val="20"/>
              </w:rPr>
              <w:t xml:space="preserve">Click a suggested chip (e.g. ‘Improve credit score fast’), toggle ‘include latest results’, click Get AI tips, let the response stream in.</w:t>
            </w:r>
          </w:p>
        </w:tc>
        <w:tc>
          <w:tcPr>
            <w:tcW w:type="dxa" w:w="3300"/>
            <w:shd w:fill="F5F5F5" w:val="clear"/>
            <w:tcMar>
              <w:top w:type="dxa" w:w="100"/>
              <w:left w:type="dxa" w:w="120"/>
              <w:bottom w:type="dxa" w:w="100"/>
              <w:right w:type="dxa" w:w="120"/>
            </w:tcMar>
          </w:tcPr>
          <w:p>
            <w:pPr>
              <w:jc w:val="left"/>
            </w:pPr>
            <w:r>
              <w:rPr>
                <w:b w:val="false"/>
                <w:bCs w:val="false"/>
                <w:sz w:val="20"/>
                <w:szCs w:val="20"/>
              </w:rPr>
              <w:t xml:space="preserve">“Finally, the AI Financial Tips tool calls Claude directly, optionally using the user's own eligibility and credit results to personalize the advice — turning raw numbers into a clear next step.”</w:t>
            </w:r>
          </w:p>
        </w:tc>
      </w:tr>
      <w:tr>
        <w:tc>
          <w:tcPr>
            <w:tcW w:type="dxa" w:w="900"/>
            <w:tcMar>
              <w:top w:type="dxa" w:w="100"/>
              <w:left w:type="dxa" w:w="120"/>
              <w:bottom w:type="dxa" w:w="100"/>
              <w:right w:type="dxa" w:w="120"/>
            </w:tcMar>
          </w:tcPr>
          <w:p>
            <w:pPr>
              <w:jc w:val="left"/>
            </w:pPr>
            <w:r>
              <w:rPr>
                <w:b w:val="false"/>
                <w:bCs w:val="false"/>
                <w:sz w:val="20"/>
                <w:szCs w:val="20"/>
              </w:rPr>
              <w:t xml:space="preserve">2:40–2:55</w:t>
            </w:r>
          </w:p>
        </w:tc>
        <w:tc>
          <w:tcPr>
            <w:tcW w:type="dxa" w:w="1400"/>
            <w:tcMar>
              <w:top w:type="dxa" w:w="100"/>
              <w:left w:type="dxa" w:w="120"/>
              <w:bottom w:type="dxa" w:w="100"/>
              <w:right w:type="dxa" w:w="120"/>
            </w:tcMar>
          </w:tcPr>
          <w:p>
            <w:pPr>
              <w:jc w:val="left"/>
            </w:pPr>
            <w:r>
              <w:rPr>
                <w:b w:val="false"/>
                <w:bCs w:val="false"/>
                <w:sz w:val="20"/>
                <w:szCs w:val="20"/>
              </w:rPr>
              <w:t xml:space="preserve">Full tab sweep</w:t>
            </w:r>
          </w:p>
        </w:tc>
        <w:tc>
          <w:tcPr>
            <w:tcW w:type="dxa" w:w="3800"/>
            <w:tcMar>
              <w:top w:type="dxa" w:w="100"/>
              <w:left w:type="dxa" w:w="120"/>
              <w:bottom w:type="dxa" w:w="100"/>
              <w:right w:type="dxa" w:w="120"/>
            </w:tcMar>
          </w:tcPr>
          <w:p>
            <w:pPr>
              <w:jc w:val="left"/>
            </w:pPr>
            <w:r>
              <w:rPr>
                <w:b w:val="false"/>
                <w:bCs w:val="false"/>
                <w:sz w:val="20"/>
                <w:szCs w:val="20"/>
              </w:rPr>
              <w:t xml:space="preserve">Quickly click through all four tabs once more to show the consistent design language.</w:t>
            </w:r>
          </w:p>
        </w:tc>
        <w:tc>
          <w:tcPr>
            <w:tcW w:type="dxa" w:w="3300"/>
            <w:tcMar>
              <w:top w:type="dxa" w:w="100"/>
              <w:left w:type="dxa" w:w="120"/>
              <w:bottom w:type="dxa" w:w="100"/>
              <w:right w:type="dxa" w:w="120"/>
            </w:tcMar>
          </w:tcPr>
          <w:p>
            <w:pPr>
              <w:jc w:val="left"/>
            </w:pPr>
            <w:r>
              <w:rPr>
                <w:b w:val="false"/>
                <w:bCs w:val="false"/>
                <w:sz w:val="20"/>
                <w:szCs w:val="20"/>
              </w:rPr>
              <w:t xml:space="preserve">“Every tool shares the same glass-panel design and gauge visualization, so the experience feels like one connected product, not four separate widgets.”</w:t>
            </w:r>
          </w:p>
        </w:tc>
      </w:tr>
      <w:tr>
        <w:tc>
          <w:tcPr>
            <w:tcW w:type="dxa" w:w="900"/>
            <w:shd w:fill="F5F5F5" w:val="clear"/>
            <w:tcMar>
              <w:top w:type="dxa" w:w="100"/>
              <w:left w:type="dxa" w:w="120"/>
              <w:bottom w:type="dxa" w:w="100"/>
              <w:right w:type="dxa" w:w="120"/>
            </w:tcMar>
          </w:tcPr>
          <w:p>
            <w:pPr>
              <w:jc w:val="left"/>
            </w:pPr>
            <w:r>
              <w:rPr>
                <w:b w:val="false"/>
                <w:bCs w:val="false"/>
                <w:sz w:val="20"/>
                <w:szCs w:val="20"/>
              </w:rPr>
              <w:t xml:space="preserve">2:55–3:00</w:t>
            </w:r>
          </w:p>
        </w:tc>
        <w:tc>
          <w:tcPr>
            <w:tcW w:type="dxa" w:w="1400"/>
            <w:shd w:fill="F5F5F5" w:val="clear"/>
            <w:tcMar>
              <w:top w:type="dxa" w:w="100"/>
              <w:left w:type="dxa" w:w="120"/>
              <w:bottom w:type="dxa" w:w="100"/>
              <w:right w:type="dxa" w:w="120"/>
            </w:tcMar>
          </w:tcPr>
          <w:p>
            <w:pPr>
              <w:jc w:val="left"/>
            </w:pPr>
            <w:r>
              <w:rPr>
                <w:b w:val="false"/>
                <w:bCs w:val="false"/>
                <w:sz w:val="20"/>
                <w:szCs w:val="20"/>
              </w:rPr>
              <w:t xml:space="preserve">Close on header</w:t>
            </w:r>
          </w:p>
        </w:tc>
        <w:tc>
          <w:tcPr>
            <w:tcW w:type="dxa" w:w="3800"/>
            <w:shd w:fill="F5F5F5" w:val="clear"/>
            <w:tcMar>
              <w:top w:type="dxa" w:w="100"/>
              <w:left w:type="dxa" w:w="120"/>
              <w:bottom w:type="dxa" w:w="100"/>
              <w:right w:type="dxa" w:w="120"/>
            </w:tcMar>
          </w:tcPr>
          <w:p>
            <w:pPr>
              <w:jc w:val="left"/>
            </w:pPr>
            <w:r>
              <w:rPr>
                <w:b w:val="false"/>
                <w:bCs w:val="false"/>
                <w:sz w:val="20"/>
                <w:szCs w:val="20"/>
              </w:rPr>
              <w:t xml:space="preserve">Return to the first tab.</w:t>
            </w:r>
          </w:p>
        </w:tc>
        <w:tc>
          <w:tcPr>
            <w:tcW w:type="dxa" w:w="3300"/>
            <w:shd w:fill="F5F5F5" w:val="clear"/>
            <w:tcMar>
              <w:top w:type="dxa" w:w="100"/>
              <w:left w:type="dxa" w:w="120"/>
              <w:bottom w:type="dxa" w:w="100"/>
              <w:right w:type="dxa" w:w="120"/>
            </w:tcMar>
          </w:tcPr>
          <w:p>
            <w:pPr>
              <w:jc w:val="left"/>
            </w:pPr>
            <w:r>
              <w:rPr>
                <w:b w:val="false"/>
                <w:bCs w:val="false"/>
                <w:sz w:val="20"/>
                <w:szCs w:val="20"/>
              </w:rPr>
              <w:t xml:space="preserve">“That's FinWise AI — eligibility, credit, EMI, and advice, in one place.”</w:t>
            </w:r>
          </w:p>
        </w:tc>
      </w:tr>
    </w:tbl>
    <w:p>
      <w:pPr>
        <w:spacing w:before="200"/>
      </w:pPr>
    </w:p>
    <w:p>
      <w:pPr>
        <w:pStyle w:val="Heading2"/>
        <w:spacing w:after="150" w:before="300"/>
      </w:pPr>
      <w:r>
        <w:t xml:space="preserve">9.1 Recording Tips</w:t>
      </w:r>
    </w:p>
    <w:p>
      <w:pPr>
        <w:pStyle w:val="ListParagraph"/>
        <w:numPr>
          <w:ilvl w:val="0"/>
          <w:numId w:val="2"/>
        </w:numPr>
        <w:spacing w:after="90"/>
      </w:pPr>
      <w:r>
        <w:t xml:space="preserve">Zoom the browser to 100–110% so gauge text and form labels stay legible on screen recordings.</w:t>
      </w:r>
    </w:p>
    <w:p>
      <w:pPr>
        <w:pStyle w:val="ListParagraph"/>
        <w:numPr>
          <w:ilvl w:val="0"/>
          <w:numId w:val="2"/>
        </w:numPr>
        <w:spacing w:after="90"/>
      </w:pPr>
      <w:r>
        <w:t xml:space="preserve">Pause briefly after each result appears so the gauge fill animation completes before moving on.</w:t>
      </w:r>
    </w:p>
    <w:p>
      <w:pPr>
        <w:pStyle w:val="ListParagraph"/>
        <w:numPr>
          <w:ilvl w:val="0"/>
          <w:numId w:val="2"/>
        </w:numPr>
        <w:spacing w:after="90"/>
      </w:pPr>
      <w:r>
        <w:t xml:space="preserve">Keep total runtime under 3–30 minutes for mentor review — this script is timed for ~3 minutes.</w:t>
      </w:r>
    </w:p>
    <w:p>
      <w:pPr>
        <w:pStyle w:val="ListParagraph"/>
        <w:numPr>
          <w:ilvl w:val="0"/>
          <w:numId w:val="2"/>
        </w:numPr>
        <w:spacing w:after="90"/>
      </w:pPr>
      <w:r>
        <w:t xml:space="preserve">Export as MP4 and upload to the team's shared drive or YouTube (unlisted), then attach the link on the project board alongside the GitHub repository link.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0F1728"/>
      <w:sz w:val="34"/>
      <w:szCs w:val="34"/>
    </w:rPr>
  </w:style>
  <w:style w:type="paragraph" w:styleId="Heading2">
    <w:name w:val="Heading 2"/>
    <w:basedOn w:val="Normal"/>
    <w:next w:val="Normal"/>
    <w:qFormat/>
    <w:rPr>
      <w:b/>
      <w:bCs/>
      <w:color w:val="0F1728"/>
      <w:sz w:val="27"/>
      <w:szCs w:val="27"/>
    </w:rPr>
  </w:style>
  <w:style w:type="paragraph" w:styleId="Heading3">
    <w:name w:val="Heading 3"/>
    <w:basedOn w:val="Normal"/>
    <w:next w:val="Normal"/>
    <w:qFormat/>
    <w:rPr>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2026-07-09T08:19:36.895Z</dcterms:created>
  <dcterms:modified xsi:type="dcterms:W3CDTF">2026-07-09T08:19:36.910Z</dcterms:modified>
</cp:coreProperties>
</file>

<file path=docProps/custom.xml><?xml version="1.0" encoding="utf-8"?>
<Properties xmlns="http://schemas.openxmlformats.org/officeDocument/2006/custom-properties" xmlns:vt="http://schemas.openxmlformats.org/officeDocument/2006/docPropsVTypes"/>
</file>