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Lenovo Enterprise Systems Implementation Guide</w:t>
      </w:r>
    </w:p>
    <w:p>
      <w:r>
        <w:t>This internal guide summarizes deployment phases, ownership responsibilities, and governance checkpoints.</w:t>
      </w:r>
    </w:p>
    <w:p>
      <w:pPr>
        <w:pStyle w:val="Heading2"/>
      </w:pPr>
      <w:r>
        <w:t>Deployment Phases</w:t>
      </w:r>
    </w:p>
    <w:p>
      <w:r>
        <w:t>Phase 1: Assessment and architecture validation</w:t>
      </w:r>
    </w:p>
    <w:p>
      <w:r>
        <w:t>Phase 2: Pilot rollout and baseline KPI measurement</w:t>
      </w:r>
    </w:p>
    <w:p>
      <w:r>
        <w:t>Phase 3: Production hardening and operational handover</w:t>
      </w:r>
    </w:p>
    <w:p>
      <w:pPr>
        <w:pStyle w:val="Heading2"/>
      </w:pPr>
      <w:r>
        <w:t>KPI Baseline</w:t>
      </w:r>
    </w:p>
    <w:p>
      <w:r>
        <w:t>Track latency, throughput, and incident recovery SLA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