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osalTitle"/>
        <w:jc w:val="center"/>
      </w:pPr>
      <w:r>
        <w:t>Index Rebalancing Trading: Predictability, Timing, and Risk Across Index Types</w:t>
      </w:r>
    </w:p>
    <w:p>
      <w:pPr>
        <w:spacing w:after="280"/>
        <w:jc w:val="center"/>
      </w:pPr>
      <w:r>
        <w:rPr>
          <w:i/>
          <w:color w:val="5A5A5A"/>
          <w:sz w:val="21"/>
        </w:rPr>
        <w:t>Draft project proposal for 15.458 — comparative study across broad market, geography, factor, and sector indices</w:t>
      </w:r>
    </w:p>
    <w:p>
      <w:pPr>
        <w:pStyle w:val="Heading1"/>
        <w:spacing w:after="160" w:line="264" w:lineRule="auto"/>
      </w:pPr>
      <w:r>
        <w:t>Proposed core index set</w:t>
      </w:r>
    </w:p>
    <w:tbl>
      <w:tblPr>
        <w:tblStyle w:val="TableGrid"/>
        <w:tblW w:type="auto" w:w="0"/>
        <w:tblLayout w:type="fixed"/>
        <w:tblLook w:firstColumn="1" w:firstRow="1" w:lastColumn="0" w:lastRow="0" w:noHBand="0" w:noVBand="1" w:val="04A0"/>
      </w:tblPr>
      <w:tblGrid>
        <w:gridCol w:w="2448"/>
        <w:gridCol w:w="2592"/>
        <w:gridCol w:w="5472"/>
      </w:tblGrid>
      <w:tr>
        <w:tc>
          <w:tcPr>
            <w:tcW w:type="dxa" w:w="2448"/>
            <w:shd w:fill="DCE6F1"/>
            <w:tcMar>
              <w:top w:w="80" w:type="dxa"/>
              <w:start w:w="100" w:type="dxa"/>
              <w:bottom w:w="80" w:type="dxa"/>
              <w:end w:w="100" w:type="dxa"/>
            </w:tcMar>
          </w:tcPr>
          <w:p>
            <w:pPr>
              <w:jc w:val="center"/>
            </w:pPr>
            <w:r>
              <w:rPr>
                <w:b/>
                <w:sz w:val="20"/>
              </w:rPr>
              <w:t>Category</w:t>
            </w:r>
          </w:p>
        </w:tc>
        <w:tc>
          <w:tcPr>
            <w:tcW w:type="dxa" w:w="2592"/>
            <w:shd w:fill="DCE6F1"/>
            <w:tcMar>
              <w:top w:w="80" w:type="dxa"/>
              <w:start w:w="100" w:type="dxa"/>
              <w:bottom w:w="80" w:type="dxa"/>
              <w:end w:w="100" w:type="dxa"/>
            </w:tcMar>
          </w:tcPr>
          <w:p>
            <w:pPr>
              <w:jc w:val="center"/>
            </w:pPr>
            <w:r>
              <w:rPr>
                <w:b/>
                <w:sz w:val="20"/>
              </w:rPr>
              <w:t>Representative Index</w:t>
            </w:r>
          </w:p>
        </w:tc>
        <w:tc>
          <w:tcPr>
            <w:tcW w:type="dxa" w:w="5472"/>
            <w:shd w:fill="DCE6F1"/>
            <w:tcMar>
              <w:top w:w="80" w:type="dxa"/>
              <w:start w:w="100" w:type="dxa"/>
              <w:bottom w:w="80" w:type="dxa"/>
              <w:end w:w="100" w:type="dxa"/>
            </w:tcMar>
          </w:tcPr>
          <w:p>
            <w:pPr>
              <w:jc w:val="center"/>
            </w:pPr>
            <w:r>
              <w:rPr>
                <w:b/>
                <w:sz w:val="20"/>
              </w:rPr>
              <w:t>Why It Is Included</w:t>
            </w:r>
          </w:p>
        </w:tc>
      </w:tr>
      <w:tr>
        <w:tc>
          <w:tcPr>
            <w:tcW w:type="dxa" w:w="2448"/>
            <w:tcMar>
              <w:top w:w="80" w:type="dxa"/>
              <w:start w:w="100" w:type="dxa"/>
              <w:bottom w:w="80" w:type="dxa"/>
              <w:end w:w="100" w:type="dxa"/>
            </w:tcMar>
          </w:tcPr>
          <w:p>
            <w:pPr>
              <w:spacing w:after="40"/>
              <w:jc w:val="center"/>
            </w:pPr>
            <w:r>
              <w:rPr>
                <w:sz w:val="20"/>
              </w:rPr>
              <w:t>Broad market</w:t>
            </w:r>
          </w:p>
        </w:tc>
        <w:tc>
          <w:tcPr>
            <w:tcW w:type="dxa" w:w="2592"/>
            <w:tcMar>
              <w:top w:w="80" w:type="dxa"/>
              <w:start w:w="100" w:type="dxa"/>
              <w:bottom w:w="80" w:type="dxa"/>
              <w:end w:w="100" w:type="dxa"/>
            </w:tcMar>
          </w:tcPr>
          <w:p>
            <w:pPr>
              <w:spacing w:after="40"/>
              <w:jc w:val="center"/>
            </w:pPr>
            <w:r>
              <w:rPr>
                <w:sz w:val="20"/>
              </w:rPr>
              <w:t>S&amp;P 500</w:t>
            </w:r>
          </w:p>
        </w:tc>
        <w:tc>
          <w:tcPr>
            <w:tcW w:type="dxa" w:w="5472"/>
            <w:tcMar>
              <w:top w:w="80" w:type="dxa"/>
              <w:start w:w="100" w:type="dxa"/>
              <w:bottom w:w="80" w:type="dxa"/>
              <w:end w:w="100" w:type="dxa"/>
            </w:tcMar>
          </w:tcPr>
          <w:p>
            <w:pPr>
              <w:spacing w:after="40"/>
              <w:jc w:val="left"/>
            </w:pPr>
            <w:r>
              <w:rPr>
                <w:sz w:val="20"/>
              </w:rPr>
              <w:t>Flagship large-cap benchmark with discretionary committee decisions; strongest candidate for options analysis.</w:t>
            </w:r>
          </w:p>
        </w:tc>
      </w:tr>
      <w:tr>
        <w:tc>
          <w:tcPr>
            <w:tcW w:type="dxa" w:w="2448"/>
            <w:tcMar>
              <w:top w:w="80" w:type="dxa"/>
              <w:start w:w="100" w:type="dxa"/>
              <w:bottom w:w="80" w:type="dxa"/>
              <w:end w:w="100" w:type="dxa"/>
            </w:tcMar>
          </w:tcPr>
          <w:p>
            <w:pPr>
              <w:spacing w:after="40"/>
              <w:jc w:val="center"/>
            </w:pPr>
            <w:r>
              <w:rPr>
                <w:sz w:val="20"/>
              </w:rPr>
              <w:t>Broad market</w:t>
            </w:r>
          </w:p>
        </w:tc>
        <w:tc>
          <w:tcPr>
            <w:tcW w:type="dxa" w:w="2592"/>
            <w:tcMar>
              <w:top w:w="80" w:type="dxa"/>
              <w:start w:w="100" w:type="dxa"/>
              <w:bottom w:w="80" w:type="dxa"/>
              <w:end w:w="100" w:type="dxa"/>
            </w:tcMar>
          </w:tcPr>
          <w:p>
            <w:pPr>
              <w:spacing w:after="40"/>
              <w:jc w:val="center"/>
            </w:pPr>
            <w:r>
              <w:rPr>
                <w:sz w:val="20"/>
              </w:rPr>
              <w:t>Russell 2000</w:t>
            </w:r>
          </w:p>
        </w:tc>
        <w:tc>
          <w:tcPr>
            <w:tcW w:type="dxa" w:w="5472"/>
            <w:tcMar>
              <w:top w:w="80" w:type="dxa"/>
              <w:start w:w="100" w:type="dxa"/>
              <w:bottom w:w="80" w:type="dxa"/>
              <w:end w:w="100" w:type="dxa"/>
            </w:tcMar>
          </w:tcPr>
          <w:p>
            <w:pPr>
              <w:spacing w:after="40"/>
              <w:jc w:val="left"/>
            </w:pPr>
            <w:r>
              <w:rPr>
                <w:sz w:val="20"/>
              </w:rPr>
              <w:t>Rules-based small-cap reconstitution index; strongest candidate for ex ante prediction analysis.</w:t>
            </w:r>
          </w:p>
        </w:tc>
      </w:tr>
      <w:tr>
        <w:tc>
          <w:tcPr>
            <w:tcW w:type="dxa" w:w="2448"/>
            <w:tcMar>
              <w:top w:w="80" w:type="dxa"/>
              <w:start w:w="100" w:type="dxa"/>
              <w:bottom w:w="80" w:type="dxa"/>
              <w:end w:w="100" w:type="dxa"/>
            </w:tcMar>
          </w:tcPr>
          <w:p>
            <w:pPr>
              <w:spacing w:after="40"/>
              <w:jc w:val="center"/>
            </w:pPr>
            <w:r>
              <w:rPr>
                <w:sz w:val="20"/>
              </w:rPr>
              <w:t>Geography</w:t>
            </w:r>
          </w:p>
        </w:tc>
        <w:tc>
          <w:tcPr>
            <w:tcW w:type="dxa" w:w="2592"/>
            <w:tcMar>
              <w:top w:w="80" w:type="dxa"/>
              <w:start w:w="100" w:type="dxa"/>
              <w:bottom w:w="80" w:type="dxa"/>
              <w:end w:w="100" w:type="dxa"/>
            </w:tcMar>
          </w:tcPr>
          <w:p>
            <w:pPr>
              <w:spacing w:after="40"/>
              <w:jc w:val="center"/>
            </w:pPr>
            <w:r>
              <w:rPr>
                <w:sz w:val="20"/>
              </w:rPr>
              <w:t>MSCI Europe</w:t>
            </w:r>
          </w:p>
        </w:tc>
        <w:tc>
          <w:tcPr>
            <w:tcW w:type="dxa" w:w="5472"/>
            <w:tcMar>
              <w:top w:w="80" w:type="dxa"/>
              <w:start w:w="100" w:type="dxa"/>
              <w:bottom w:w="80" w:type="dxa"/>
              <w:end w:w="100" w:type="dxa"/>
            </w:tcMar>
          </w:tcPr>
          <w:p>
            <w:pPr>
              <w:spacing w:after="40"/>
              <w:jc w:val="left"/>
            </w:pPr>
            <w:r>
              <w:rPr>
                <w:sz w:val="20"/>
              </w:rPr>
              <w:t>Representative regional index for studying geography- and investability-driven rebalance mechanics.</w:t>
            </w:r>
          </w:p>
        </w:tc>
      </w:tr>
      <w:tr>
        <w:tc>
          <w:tcPr>
            <w:tcW w:type="dxa" w:w="2448"/>
            <w:tcMar>
              <w:top w:w="80" w:type="dxa"/>
              <w:start w:w="100" w:type="dxa"/>
              <w:bottom w:w="80" w:type="dxa"/>
              <w:end w:w="100" w:type="dxa"/>
            </w:tcMar>
          </w:tcPr>
          <w:p>
            <w:pPr>
              <w:spacing w:after="40"/>
              <w:jc w:val="center"/>
            </w:pPr>
            <w:r>
              <w:rPr>
                <w:sz w:val="20"/>
              </w:rPr>
              <w:t>Factor</w:t>
            </w:r>
          </w:p>
        </w:tc>
        <w:tc>
          <w:tcPr>
            <w:tcW w:type="dxa" w:w="2592"/>
            <w:tcMar>
              <w:top w:w="80" w:type="dxa"/>
              <w:start w:w="100" w:type="dxa"/>
              <w:bottom w:w="80" w:type="dxa"/>
              <w:end w:w="100" w:type="dxa"/>
            </w:tcMar>
          </w:tcPr>
          <w:p>
            <w:pPr>
              <w:spacing w:after="40"/>
              <w:jc w:val="center"/>
            </w:pPr>
            <w:r>
              <w:rPr>
                <w:sz w:val="20"/>
              </w:rPr>
              <w:t>U.S. value factor index</w:t>
            </w:r>
          </w:p>
        </w:tc>
        <w:tc>
          <w:tcPr>
            <w:tcW w:type="dxa" w:w="5472"/>
            <w:tcMar>
              <w:top w:w="80" w:type="dxa"/>
              <w:start w:w="100" w:type="dxa"/>
              <w:bottom w:w="80" w:type="dxa"/>
              <w:end w:w="100" w:type="dxa"/>
            </w:tcMar>
          </w:tcPr>
          <w:p>
            <w:pPr>
              <w:spacing w:after="40"/>
              <w:jc w:val="left"/>
            </w:pPr>
            <w:r>
              <w:rPr>
                <w:sz w:val="20"/>
              </w:rPr>
              <w:t>Lets us study methodology-driven turnover and whether transparent factor rules improve predictability.</w:t>
            </w:r>
          </w:p>
        </w:tc>
      </w:tr>
      <w:tr>
        <w:tc>
          <w:tcPr>
            <w:tcW w:type="dxa" w:w="2448"/>
            <w:tcMar>
              <w:top w:w="80" w:type="dxa"/>
              <w:start w:w="100" w:type="dxa"/>
              <w:bottom w:w="80" w:type="dxa"/>
              <w:end w:w="100" w:type="dxa"/>
            </w:tcMar>
          </w:tcPr>
          <w:p>
            <w:pPr>
              <w:spacing w:after="40"/>
              <w:jc w:val="center"/>
            </w:pPr>
            <w:r>
              <w:rPr>
                <w:sz w:val="20"/>
              </w:rPr>
              <w:t>Sector</w:t>
            </w:r>
          </w:p>
        </w:tc>
        <w:tc>
          <w:tcPr>
            <w:tcW w:type="dxa" w:w="2592"/>
            <w:tcMar>
              <w:top w:w="80" w:type="dxa"/>
              <w:start w:w="100" w:type="dxa"/>
              <w:bottom w:w="80" w:type="dxa"/>
              <w:end w:w="100" w:type="dxa"/>
            </w:tcMar>
          </w:tcPr>
          <w:p>
            <w:pPr>
              <w:spacing w:after="40"/>
              <w:jc w:val="center"/>
            </w:pPr>
            <w:r>
              <w:rPr>
                <w:sz w:val="20"/>
              </w:rPr>
              <w:t>U.S. information technology index</w:t>
            </w:r>
          </w:p>
        </w:tc>
        <w:tc>
          <w:tcPr>
            <w:tcW w:type="dxa" w:w="5472"/>
            <w:tcMar>
              <w:top w:w="80" w:type="dxa"/>
              <w:start w:w="100" w:type="dxa"/>
              <w:bottom w:w="80" w:type="dxa"/>
              <w:end w:w="100" w:type="dxa"/>
            </w:tcMar>
          </w:tcPr>
          <w:p>
            <w:pPr>
              <w:spacing w:after="40"/>
              <w:jc w:val="left"/>
            </w:pPr>
            <w:r>
              <w:rPr>
                <w:sz w:val="20"/>
              </w:rPr>
              <w:t>Captures narrower sector-specific rebalances and allows comparison with broad market indices.</w:t>
            </w:r>
          </w:p>
        </w:tc>
      </w:tr>
    </w:tbl>
    <w:p>
      <w:pPr>
        <w:pStyle w:val="Heading1"/>
        <w:spacing w:after="160" w:line="264" w:lineRule="auto"/>
      </w:pPr>
      <w:r>
        <w:t>Hypothesis / Objective</w:t>
      </w:r>
    </w:p>
    <w:p>
      <w:pPr>
        <w:spacing w:after="160" w:line="264" w:lineRule="auto"/>
      </w:pPr>
      <w:r>
        <w:t>The objective of this project is to study the viability of index rebalancing trading across different types of indices and to understand how the structure of an index affects the predictability and tradability of rebalance events. In particular, we aim to compare broad market indices, geography-based indices, factor-based indices, and sector-specific indices to evaluate how index design influences the ability to predict additions and deletions, the timing of optimal trades, the role of options markets around rebalance events, and the practical risks of implementing such strategies. More broadly, we want to understand the extent to which index rebalance trading remains attractive in modern markets and what the key considerations and nuances are when trading different classes of indices.</w:t>
      </w:r>
    </w:p>
    <w:p>
      <w:pPr>
        <w:pStyle w:val="Heading1"/>
        <w:spacing w:after="160" w:line="264" w:lineRule="auto"/>
      </w:pPr>
      <w:r>
        <w:t>Scope</w:t>
      </w:r>
    </w:p>
    <w:p>
      <w:pPr>
        <w:spacing w:after="160" w:line="264" w:lineRule="auto"/>
      </w:pPr>
      <w:r>
        <w:t>This project will focus primarily on a selected set of equity indices for which meaningful historical event data and market data are likely to be obtainable. Our core sample will include the S&amp;P 500, Russell 2000, MSCI Europe, one U.S. value factor index, and one U.S. information technology sector index. These indices were selected to span a range of rebalance mechanisms, from committee-based and partially discretionary processes to more rules-based and score-driven methodologies. Together, they provide a useful cross-section of broad market, geography-based, factor-based, and sector-based indices.</w:t>
      </w:r>
    </w:p>
    <w:p>
      <w:pPr>
        <w:spacing w:after="160" w:line="264" w:lineRule="auto"/>
      </w:pPr>
      <w:r>
        <w:t>Within this set of indices, we aim to study several dimensions of index rebalance trading. First, we will study the prediction of additions and deletions, especially for indices where methodology and point-in-time data may make ex ante prediction feasible. Second, we will conduct event studies around announcement dates and effective dates to understand when the market incorporates rebalance information and what the best time to trade may be. Third, for the most liquid and data-rich indices, especially the S&amp;P 500, we will analyze the response of the options market around rebalance events and explore whether options can be used either to express views or to hedge risk. Fourth, we will study hedging and downside risk, including the practical risks that arise from failed predictions, crowded trading, and execution costs. Fifth, we will compare softer institutional and structural considerations across indices, such as the level of discretion exercised by index committees, the transparency of methodologies, and the degree to which these features affect the tradability of the rebalance event.</w:t>
      </w:r>
    </w:p>
    <w:p>
      <w:pPr>
        <w:spacing w:after="160" w:line="264" w:lineRule="auto"/>
      </w:pPr>
      <w:r>
        <w:t>The project is intentionally structured in a tiered way. All feasible indices will receive a common event-study analysis, while deeper analyses such as prediction modeling and options analysis will be applied only where data availability supports them. If possible, we would also like to explore whether fixed-income or commodity indices can be incorporated in a more limited way, primarily to compare their rebalance mechanics and data feasibility with those of equity indices. We do not expect to achieve the same analytical depth for every category of index, and a key part of the project will be understanding where richer analysis is possible and where data limitations become binding.</w:t>
      </w:r>
    </w:p>
    <w:p>
      <w:pPr>
        <w:pStyle w:val="Heading1"/>
        <w:spacing w:after="160" w:line="264" w:lineRule="auto"/>
      </w:pPr>
      <w:r>
        <w:t>Data</w:t>
      </w:r>
    </w:p>
    <w:p>
      <w:pPr>
        <w:spacing w:after="160" w:line="264" w:lineRule="auto"/>
      </w:pPr>
      <w:r>
        <w:t>The project will require several layers of data. First, we will need historical index rebalance event data, including additions, deletions, announcement dates, and effective dates, for each selected index over approximately the last five years. These data may be collected from index provider announcements, methodology documents, published review files, and other public or terminal-based sources. For the S&amp;P 500 and related S&amp;P indices, this may involve collecting event histories from S&amp;P Dow Jones announcements and index notices. For Russell 2000, we expect to rely on FTSE Russell reconstitution files, preliminary add/delete lists, and methodology documentation. For MSCI Europe, we expect to use MSCI index review announcements and related constituent change files where available. For the U.S. value factor index and the U.S. information technology sector index, we will rely on the historical files and review documentation that are publicly available or accessible through Bloomberg or similar sources.</w:t>
      </w:r>
    </w:p>
    <w:p>
      <w:pPr>
        <w:spacing w:after="160" w:line="264" w:lineRule="auto"/>
      </w:pPr>
      <w:r>
        <w:t>Second, we will need market data on the underlying securities around rebalance events, including daily returns, prices, trading volume, market capitalization, liquidity measures, and potentially intraday measures where available. These data may come from Bloomberg, CRSP, FactSet, WRDS, Yahoo Finance, or other databases available through MIT Sloan or classroom resources. For event-study analysis, daily data should be sufficient initially, though intraday data would be highly valuable if accessible for selected case studies.</w:t>
      </w:r>
    </w:p>
    <w:p>
      <w:pPr>
        <w:spacing w:after="160" w:line="264" w:lineRule="auto"/>
      </w:pPr>
      <w:r>
        <w:t>Third, for prediction exercises, we will need point-in-time firm characteristics and market information that may help predict additions and deletions before formal announcement. These may include market capitalization, float-adjusted market capitalization, liquidity, sector classifications, value-oriented characteristics, and other index-specific screening variables. Russell 2000 and the U.S. value factor index may be particularly well suited for such analysis because their rebalancing rules are more transparent and more tightly tied to observable characteristics. In contrast, S&amp;P 500 prediction may be more difficult because of committee discretion, but it remains an important benchmark precisely for that reason.</w:t>
      </w:r>
    </w:p>
    <w:p>
      <w:pPr>
        <w:spacing w:after="160" w:line="264" w:lineRule="auto"/>
      </w:pPr>
      <w:r>
        <w:t>Fourth, for the options component, we will need historical options data for selected liquid names around rebalance events. This may include option prices, implied volatilities, trading volume, open interest, and potentially measures of skew or volatility term structure. We expect this analysis to be limited primarily to the most liquid U.S. equity names and indices, especially those associated with the S&amp;P 500, where options data are rich enough to support meaningful analysis.</w:t>
      </w:r>
    </w:p>
    <w:p>
      <w:pPr>
        <w:spacing w:after="160" w:line="264" w:lineRule="auto"/>
      </w:pPr>
      <w:r>
        <w:t>Finally, if available, we would be interested in incorporating more detailed market activity data, such as auction volume, closing volume concentration, or even order-book data for selected events. We do not yet know whether this will be feasible with the data sources available to us, so this should be treated as an aspirational extension rather than a core component of the project.</w:t>
      </w:r>
    </w:p>
    <w:p>
      <w:pPr>
        <w:spacing w:after="160" w:line="264" w:lineRule="auto"/>
      </w:pPr>
      <w:r>
        <w:t>We also expect to use AI tools in a limited and transparent way. AI may be helpful for organizing provider documentation, summarizing methodology differences across indices, accelerating exploratory coding, cleaning event data, and refining written drafts. However, all analysis design, empirical implementation, interpretation of results, and final conclusions will be our own, and any use of AI tools will be explicitly disclosed in the final report in accordance with course policy.</w:t>
      </w:r>
    </w:p>
    <w:p>
      <w:pPr>
        <w:pStyle w:val="Heading1"/>
        <w:spacing w:after="160" w:line="264" w:lineRule="auto"/>
      </w:pPr>
      <w:r>
        <w:t>Methods</w:t>
      </w:r>
    </w:p>
    <w:p>
      <w:pPr>
        <w:spacing w:after="160" w:line="264" w:lineRule="auto"/>
      </w:pPr>
      <w:r>
        <w:t>The project will combine financial event-study methodology, predictive modeling, and market microstructure-oriented analysis. The common framework across all indices will be an event study of rebalance additions and deletions, examining abnormal returns, trading volume, and liquidity patterns around announcement and effective dates. This will allow us to compare when price impact occurs, whether it occurs gradually or abruptly, and how trading opportunities differ across index types.</w:t>
      </w:r>
    </w:p>
    <w:p>
      <w:pPr>
        <w:spacing w:after="160" w:line="264" w:lineRule="auto"/>
      </w:pPr>
      <w:r>
        <w:t>For the prediction component, we plan to use classification-oriented methodologies to test whether additions and deletions can be anticipated using point-in-time firm characteristics and index-specific ranking variables. These methods may include logistic regression, tree-based models, or other supervised learning techniques that allow us to compare simple interpretable models with more flexible nonlinear approaches. The purpose is not only to maximize predictive accuracy, but also to understand which firm characteristics matter most and how prediction feasibility differs across indices.</w:t>
      </w:r>
    </w:p>
    <w:p>
      <w:pPr>
        <w:spacing w:after="160" w:line="264" w:lineRule="auto"/>
      </w:pPr>
      <w:r>
        <w:t>For the options component, we plan to study the behavior of the options market around rebalance events for a subset of liquid names. This may include examining changes in implied volatility, skew, trading activity, and relative pricing before and after announcements and implementation dates. We would also like to consider whether options could be used to express directional views on rebalance outcomes or to hedge downside risks associated with cash-equity implementation.</w:t>
      </w:r>
    </w:p>
    <w:p>
      <w:pPr>
        <w:spacing w:after="160" w:line="264" w:lineRule="auto"/>
      </w:pPr>
      <w:r>
        <w:t>More broadly, the project will incorporate econometric analysis and basic statistical inference throughout. We expect to use descriptive statistics, regression-based analysis, event-window comparisons, and model evaluation metrics suited to classification tasks. Computationally, we expect to work in Python, using standard data-analysis and machine-learning libraries for data cleaning, visualization, prediction modeling, and empirical testing. Depending on data availability, we may also use SQL or vendor-specific extraction tools to build the necessary datasets.</w:t>
      </w:r>
    </w:p>
    <w:p>
      <w:pPr>
        <w:pStyle w:val="Heading1"/>
        <w:spacing w:after="160" w:line="264" w:lineRule="auto"/>
      </w:pPr>
      <w:r>
        <w:t>Expected Contribution</w:t>
      </w:r>
    </w:p>
    <w:p>
      <w:pPr>
        <w:spacing w:after="160" w:line="264" w:lineRule="auto"/>
      </w:pPr>
      <w:r>
        <w:t>The project is designed to provide a comparative view of index rebalance trading across multiple index types rather than to study a single rebalance mechanism in isolation. We hope to identify where rebalance trading remains most viable, where it is limited by discretion or data opacity, and how the relevant implementation considerations differ across broad market, geography-based, factor-based, and sector-based indices. By structuring the project in a layered way, we aim to produce both a broad comparative perspective and deeper analysis in the areas where data allow richer empirical work.</w:t>
      </w:r>
    </w:p>
    <w:p>
      <w:pPr>
        <w:pStyle w:val="Heading1"/>
        <w:spacing w:after="160" w:line="264" w:lineRule="auto"/>
      </w:pPr>
      <w:r>
        <w:t>Planned analytical layers</w:t>
      </w:r>
    </w:p>
    <w:tbl>
      <w:tblPr>
        <w:tblStyle w:val="TableGrid"/>
        <w:tblW w:type="auto" w:w="0"/>
        <w:tblLayout w:type="fixed"/>
        <w:tblLook w:firstColumn="1" w:firstRow="1" w:lastColumn="0" w:lastRow="0" w:noHBand="0" w:noVBand="1" w:val="04A0"/>
      </w:tblPr>
      <w:tblGrid>
        <w:gridCol w:w="4824"/>
        <w:gridCol w:w="4824"/>
      </w:tblGrid>
      <w:tr>
        <w:tc>
          <w:tcPr>
            <w:tcW w:type="dxa" w:w="2592"/>
            <w:shd w:fill="EAF2F8"/>
            <w:tcMar>
              <w:top w:w="80" w:type="dxa"/>
              <w:start w:w="100" w:type="dxa"/>
              <w:bottom w:w="80" w:type="dxa"/>
              <w:end w:w="100" w:type="dxa"/>
            </w:tcMar>
          </w:tcPr>
          <w:p>
            <w:pPr>
              <w:jc w:val="center"/>
            </w:pPr>
            <w:r>
              <w:rPr>
                <w:b/>
                <w:sz w:val="20"/>
              </w:rPr>
              <w:t>Core layer</w:t>
            </w:r>
          </w:p>
        </w:tc>
        <w:tc>
          <w:tcPr>
            <w:tcW w:type="dxa" w:w="7920"/>
            <w:tcMar>
              <w:top w:w="80" w:type="dxa"/>
              <w:start w:w="100" w:type="dxa"/>
              <w:bottom w:w="80" w:type="dxa"/>
              <w:end w:w="100" w:type="dxa"/>
            </w:tcMar>
          </w:tcPr>
          <w:p>
            <w:pPr>
              <w:jc w:val="left"/>
            </w:pPr>
            <w:r>
              <w:rPr>
                <w:sz w:val="20"/>
              </w:rPr>
              <w:t>Common event studies across all feasible indices: additions, deletions, announcement dates, effective dates, returns, volume, and liquidity.</w:t>
            </w:r>
          </w:p>
        </w:tc>
      </w:tr>
      <w:tr>
        <w:tc>
          <w:tcPr>
            <w:tcW w:type="dxa" w:w="2592"/>
            <w:shd w:fill="EAF2F8"/>
            <w:tcMar>
              <w:top w:w="80" w:type="dxa"/>
              <w:start w:w="100" w:type="dxa"/>
              <w:bottom w:w="80" w:type="dxa"/>
              <w:end w:w="100" w:type="dxa"/>
            </w:tcMar>
          </w:tcPr>
          <w:p>
            <w:pPr>
              <w:jc w:val="center"/>
            </w:pPr>
            <w:r>
              <w:rPr>
                <w:b/>
                <w:sz w:val="20"/>
              </w:rPr>
              <w:t>Prediction layer</w:t>
            </w:r>
          </w:p>
        </w:tc>
        <w:tc>
          <w:tcPr>
            <w:tcW w:type="dxa" w:w="7920"/>
            <w:tcMar>
              <w:top w:w="80" w:type="dxa"/>
              <w:start w:w="100" w:type="dxa"/>
              <w:bottom w:w="80" w:type="dxa"/>
              <w:end w:w="100" w:type="dxa"/>
            </w:tcMar>
          </w:tcPr>
          <w:p>
            <w:pPr>
              <w:jc w:val="left"/>
            </w:pPr>
            <w:r>
              <w:rPr>
                <w:sz w:val="20"/>
              </w:rPr>
              <w:t>Applied where point-in-time characteristics and methodology transparency make ex ante prediction feasible, especially for Russell 2000 and the value factor index.</w:t>
            </w:r>
          </w:p>
        </w:tc>
      </w:tr>
      <w:tr>
        <w:tc>
          <w:tcPr>
            <w:tcW w:type="dxa" w:w="2592"/>
            <w:shd w:fill="EAF2F8"/>
            <w:tcMar>
              <w:top w:w="80" w:type="dxa"/>
              <w:start w:w="100" w:type="dxa"/>
              <w:bottom w:w="80" w:type="dxa"/>
              <w:end w:w="100" w:type="dxa"/>
            </w:tcMar>
          </w:tcPr>
          <w:p>
            <w:pPr>
              <w:jc w:val="center"/>
            </w:pPr>
            <w:r>
              <w:rPr>
                <w:b/>
                <w:sz w:val="20"/>
              </w:rPr>
              <w:t>Options layer</w:t>
            </w:r>
          </w:p>
        </w:tc>
        <w:tc>
          <w:tcPr>
            <w:tcW w:type="dxa" w:w="7920"/>
            <w:tcMar>
              <w:top w:w="80" w:type="dxa"/>
              <w:start w:w="100" w:type="dxa"/>
              <w:bottom w:w="80" w:type="dxa"/>
              <w:end w:w="100" w:type="dxa"/>
            </w:tcMar>
          </w:tcPr>
          <w:p>
            <w:pPr>
              <w:jc w:val="left"/>
            </w:pPr>
            <w:r>
              <w:rPr>
                <w:sz w:val="20"/>
              </w:rPr>
              <w:t>Focused on the most liquid U.S. names, primarily around S&amp;P 500-related rebalance events.</w:t>
            </w:r>
          </w:p>
        </w:tc>
      </w:tr>
      <w:tr>
        <w:tc>
          <w:tcPr>
            <w:tcW w:type="dxa" w:w="2592"/>
            <w:shd w:fill="EAF2F8"/>
            <w:tcMar>
              <w:top w:w="80" w:type="dxa"/>
              <w:start w:w="100" w:type="dxa"/>
              <w:bottom w:w="80" w:type="dxa"/>
              <w:end w:w="100" w:type="dxa"/>
            </w:tcMar>
          </w:tcPr>
          <w:p>
            <w:pPr>
              <w:jc w:val="center"/>
            </w:pPr>
            <w:r>
              <w:rPr>
                <w:b/>
                <w:sz w:val="20"/>
              </w:rPr>
              <w:t>Extension layer</w:t>
            </w:r>
          </w:p>
        </w:tc>
        <w:tc>
          <w:tcPr>
            <w:tcW w:type="dxa" w:w="7920"/>
            <w:tcMar>
              <w:top w:w="80" w:type="dxa"/>
              <w:start w:w="100" w:type="dxa"/>
              <w:bottom w:w="80" w:type="dxa"/>
              <w:end w:w="100" w:type="dxa"/>
            </w:tcMar>
          </w:tcPr>
          <w:p>
            <w:pPr>
              <w:jc w:val="left"/>
            </w:pPr>
            <w:r>
              <w:rPr>
                <w:sz w:val="20"/>
              </w:rPr>
              <w:t>If data permit, compare with fixed-income or commodity indices and explore auction or order-book microstructure around selected events.</w:t>
            </w:r>
          </w:p>
        </w:tc>
      </w:tr>
    </w:tbl>
    <w:sectPr w:rsidR="00FC693F" w:rsidRPr="0006063C" w:rsidSect="00034616">
      <w:head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8"/>
      </w:rPr>
      <w:t>15.458 Project Proposal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Title">
    <w:name w:val="Proposal Title"/>
    <w:basedOn w:val="Title"/>
    <w:pPr>
      <w:spacing w:after="160" w:before="0"/>
    </w:pPr>
    <w:rPr>
      <w:rFonts w:ascii="Aptos Display" w:hAnsi="Aptos Display"/>
      <w:b/>
      <w:color w:val="1F4E79"/>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