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osalTitle"/>
        <w:jc w:val="center"/>
      </w:pPr>
      <w:r>
        <w:t>Index Rebalancing Trading Across Index Types</w:t>
      </w:r>
    </w:p>
    <w:p>
      <w:pPr>
        <w:pStyle w:val="Subtitle"/>
        <w:jc w:val="center"/>
      </w:pPr>
      <w:r>
        <w:t>Project proposal draft for 15.458: Independent Project in Financial Data Science and Computing</w:t>
      </w:r>
    </w:p>
    <w:tbl>
      <w:tblPr>
        <w:tblW w:type="auto" w:w="0"/>
        <w:jc w:val="center"/>
        <w:tblLayout w:type="fixed"/>
        <w:tblLook w:firstColumn="1" w:firstRow="1" w:lastColumn="0" w:lastRow="0" w:noHBand="0" w:noVBand="1" w:val="04A0"/>
      </w:tblPr>
      <w:tblGrid>
        <w:gridCol w:w="4968"/>
        <w:gridCol w:w="4968"/>
      </w:tblGrid>
      <w:tr>
        <w:tc>
          <w:tcPr>
            <w:tcW w:type="dxa" w:w="2016"/>
            <w:tcMar>
              <w:top w:w="90" w:type="dxa"/>
              <w:start w:w="110" w:type="dxa"/>
              <w:bottom w:w="90" w:type="dxa"/>
              <w:end w:w="110" w:type="dxa"/>
            </w:tcMar>
            <w:vAlign w:val="center"/>
            <w:shd w:fill="EAF1FB"/>
          </w:tcPr>
          <w:p>
            <w:pPr>
              <w:spacing w:after="0" w:line="259" w:lineRule="auto"/>
            </w:pPr>
            <w:r>
              <w:rPr>
                <w:b/>
                <w:color w:val="1F365F"/>
              </w:rPr>
              <w:t>Objective</w:t>
            </w:r>
          </w:p>
        </w:tc>
        <w:tc>
          <w:tcPr>
            <w:tcW w:type="dxa" w:w="7056"/>
            <w:tcMar>
              <w:top w:w="90" w:type="dxa"/>
              <w:start w:w="110" w:type="dxa"/>
              <w:bottom w:w="90" w:type="dxa"/>
              <w:end w:w="110" w:type="dxa"/>
            </w:tcMar>
            <w:vAlign w:val="center"/>
            <w:shd w:fill="F8FAFC"/>
          </w:tcPr>
          <w:p>
            <w:pPr>
              <w:spacing w:after="0" w:line="259" w:lineRule="auto"/>
            </w:pPr>
            <w:r>
              <w:t>Compare the predictability and tradability of index rebalancing across major index designs.</w:t>
            </w:r>
          </w:p>
        </w:tc>
      </w:tr>
      <w:tr>
        <w:tc>
          <w:tcPr>
            <w:tcW w:type="dxa" w:w="2016"/>
            <w:tcMar>
              <w:top w:w="90" w:type="dxa"/>
              <w:start w:w="110" w:type="dxa"/>
              <w:bottom w:w="90" w:type="dxa"/>
              <w:end w:w="110" w:type="dxa"/>
            </w:tcMar>
            <w:vAlign w:val="center"/>
            <w:shd w:fill="EAF1FB"/>
          </w:tcPr>
          <w:p>
            <w:pPr>
              <w:spacing w:after="0" w:line="259" w:lineRule="auto"/>
            </w:pPr>
            <w:r>
              <w:rPr>
                <w:b/>
                <w:color w:val="1F365F"/>
              </w:rPr>
              <w:t>Core sample</w:t>
            </w:r>
          </w:p>
        </w:tc>
        <w:tc>
          <w:tcPr>
            <w:tcW w:type="dxa" w:w="7056"/>
            <w:tcMar>
              <w:top w:w="90" w:type="dxa"/>
              <w:start w:w="110" w:type="dxa"/>
              <w:bottom w:w="90" w:type="dxa"/>
              <w:end w:w="110" w:type="dxa"/>
            </w:tcMar>
            <w:vAlign w:val="center"/>
            <w:shd w:fill="F8FAFC"/>
          </w:tcPr>
          <w:p>
            <w:pPr>
              <w:spacing w:after="0" w:line="259" w:lineRule="auto"/>
            </w:pPr>
            <w:r>
              <w:t>S&amp;P 500, Russell 2000, one MSCI geography index, one factor index, and one thematic/sector-style S&amp;P index where data permit.</w:t>
            </w:r>
          </w:p>
        </w:tc>
      </w:tr>
    </w:tbl>
    <w:p/>
    <w:tbl>
      <w:tblPr>
        <w:tblW w:type="auto" w:w="0"/>
        <w:jc w:val="center"/>
        <w:tblLayout w:type="fixed"/>
        <w:tblLook w:firstColumn="1" w:firstRow="1" w:lastColumn="0" w:lastRow="0" w:noHBand="0" w:noVBand="1" w:val="04A0"/>
      </w:tblPr>
      <w:tblGrid>
        <w:gridCol w:w="9936"/>
      </w:tblGrid>
      <w:tr>
        <w:tc>
          <w:tcPr>
            <w:tcW w:type="dxa" w:w="9504"/>
            <w:shd w:fill="EEF4FB"/>
            <w:tcMar>
              <w:top w:w="110" w:type="dxa"/>
              <w:start w:w="140" w:type="dxa"/>
              <w:bottom w:w="110" w:type="dxa"/>
              <w:end w:w="140" w:type="dxa"/>
            </w:tcMar>
          </w:tcPr>
          <w:p>
            <w:pPr>
              <w:pStyle w:val="BoxText"/>
              <w:spacing w:line="259" w:lineRule="auto"/>
            </w:pPr>
            <w:r>
              <w:rPr>
                <w:b/>
                <w:color w:val="1F365F"/>
              </w:rPr>
              <w:t xml:space="preserve">Framing question. </w:t>
            </w:r>
            <w:r>
              <w:t>Which index rebalancing trades remain viable today, and how do predictability, execution timing, options behavior, and risk management differ across index designs?</w:t>
            </w:r>
          </w:p>
        </w:tc>
      </w:tr>
    </w:tbl>
    <w:p>
      <w:pPr>
        <w:pStyle w:val="Heading1"/>
        <w:spacing w:before="200" w:after="80"/>
      </w:pPr>
      <w:r>
        <w:t>Hypothesis or objective</w:t>
      </w:r>
    </w:p>
    <w:p>
      <w:pPr>
        <w:spacing w:line="269" w:lineRule="auto" w:after="120"/>
      </w:pPr>
      <w:r>
        <w:t>The objective of this project is to study the viability of index rebalancing trading across different types of indices and to understand the nuances that make some rebalancing trades more predictable and more tradable than others. The central hypothesis is that index rebalancing remains economically meaningful, but the source of edge differs sharply across index types: broad market indices may offer richer options and market microstructure signals, more rules-based indices may offer stronger ex ante prediction of additions and deletions, and geography, factor, and thematic indices may reveal distinct implementation frictions tied to methodology design, liquidity, and discretion. Rather than treating “index rebalancing” as a single trade, the project will compare how the opportunity set changes as the structure of the index changes.</w:t>
      </w:r>
    </w:p>
    <w:p>
      <w:pPr>
        <w:pStyle w:val="Heading1"/>
        <w:spacing w:before="200" w:after="80"/>
      </w:pPr>
      <w:r>
        <w:t>Scope</w:t>
      </w:r>
    </w:p>
    <w:p>
      <w:pPr>
        <w:spacing w:line="269" w:lineRule="auto" w:after="120"/>
      </w:pPr>
      <w:r>
        <w:t>The project will be organized as a layered cross-index study. A common event-study framework will be applied to every index for which historical additions, deletions, announcement dates, and effective dates can be reliably collected. This common layer will be used to measure abnormal returns, volumes, liquidity shifts, and the best trading window around rebalance events. For the indices with richer data availability, additional analysis will be conducted on (i) ex ante prediction of additions and deletions from point-in-time data, (ii) options market behavior and possible options-based trading or hedging strategies, and (iii) downside-risk management and the role of discretion or methodology opacity in limiting tradeability. The project will therefore not force identical depth across all index categories; instead, it will go deepest where the data support a full analysis while preserving one unified framework across the full sample.</w:t>
      </w:r>
    </w:p>
    <w:p>
      <w:pPr>
        <w:pStyle w:val="Heading1"/>
        <w:spacing w:before="200" w:after="80"/>
      </w:pPr>
      <w:r>
        <w:t>Indices to be studied</w:t>
      </w:r>
    </w:p>
    <w:p>
      <w:pPr>
        <w:spacing w:line="269" w:lineRule="auto" w:after="120"/>
      </w:pPr>
      <w:r>
        <w:t>The core equity sample will include the S&amp;P 500, the Russell 2000, one MSCI geography index, one factor-based index, and one additional S&amp;P-based thematic or sector-style index if feasible. The S&amp;P 500 is included because it is the most natural market-based benchmark for studying liquid event reactions and options activity, even though committee discretion makes prediction more difficult. The Russell 2000 is included because its rules-based reconstitution process should make ex ante prediction more tractable. The MSCI geography index will allow the project to study how regional classification, investability screens, and international market structure affect rebalancing dynamics. The factor index will allow comparison between broad benchmark rebalances and methodology-driven factor rebalances. A thematic or sector-style S&amp;P index can add a narrower, more specialized benchmark where turnover may be tied to a distinct narrative or industry definition. If feasible given data access, the project will also explore whether a limited extension to fixed income or commodities is possible, but those markets will be treated as optional rather than core scope because constituent-history collection is likely to be materially harder.</w:t>
      </w:r>
    </w:p>
    <w:p>
      <w:pPr>
        <w:pStyle w:val="Heading1"/>
        <w:spacing w:before="200" w:after="80"/>
      </w:pPr>
      <w:r>
        <w:t>Full set of research questions</w:t>
      </w:r>
    </w:p>
    <w:p>
      <w:pPr>
        <w:spacing w:line="269" w:lineRule="auto" w:after="120"/>
      </w:pPr>
      <w:r>
        <w:t>The project will focus on five major research questions. First, how well can additions and deletions be predicted before announcement, especially for more rules-based indices? Second, when is the best time to trade an index rebalance signal: before announcement, between announcement and effective date, intraday on effective date, or specifically into the closing auction? Third, how does the options market react around rebalance events, and do implied volatility, skew, or trading activity create an additional trading or hedging opportunity? Fourth, what are the main downside risks of index rebalancing trades, and how can those risks be hedged or controlled? Fifth, how much do softer features of index construction - such as committee discretion, methodology transparency, liquidity constraints, and crowding - determine whether an apparent rebalance signal is actually tradable in practice?</w:t>
      </w:r>
    </w:p>
    <w:p>
      <w:pPr>
        <w:pStyle w:val="Heading1"/>
        <w:spacing w:before="200" w:after="80"/>
      </w:pPr>
      <w:r>
        <w:t>Data</w:t>
      </w:r>
    </w:p>
    <w:p>
      <w:pPr>
        <w:spacing w:line="269" w:lineRule="auto" w:after="120"/>
      </w:pPr>
      <w:r>
        <w:t>The project will require several linked datasets. The first is an index-event dataset containing historical additions, deletions, announcement dates, effective dates, and, where available, reasons for index changes. These data will be collected from public methodology documents, index-announcement files, and vendor platforms such as Bloomberg, MSCI index resources, and FTSE Russell materials, with WRDS, CRSP, or Compustat used where appropriate to support constituent and firm-level history. The second is a market dataset containing daily and, where possible, intraday prices, returns, trading volume, turnover, market capitalization, float, and other point-in-time firm characteristics needed for event studies and prediction exercises. The third is an options dataset for the most liquid U.S. names and indices, including option prices, implied volatilities, volumes, open interest, and strike/maturity coverage around event dates. The fourth is a benchmark and controls dataset for constructing abnormal-return measures, liquidity controls, sector comparisons, and hedged portfolios. If available through Bloomberg or exchange sources, the project would also like to explore limited auction or order-book-related information around effective dates, though this would be treated as a stretch extension rather than a required input. The project will rely on the subset of indices for which these data can be assembled reproducibly over approximately the last five years.</w:t>
      </w:r>
    </w:p>
    <w:p>
      <w:pPr>
        <w:pStyle w:val="Heading1"/>
        <w:spacing w:before="200" w:after="80"/>
      </w:pPr>
      <w:r>
        <w:t>Methods</w:t>
      </w:r>
    </w:p>
    <w:p>
      <w:pPr>
        <w:spacing w:line="269" w:lineRule="auto" w:after="120"/>
      </w:pPr>
      <w:r>
        <w:t>The common empirical backbone of the project will be an event-study design around announcement and effective dates. For each index, the project will measure return, volume, turnover, and liquidity responses across several trading windows in order to identify when the market impact appears and when a trader would have needed to enter or exit. To study prediction, the project will construct point-in-time feature sets and evaluate classification models that predict additions and deletions before official announcement. These models may include transparent baseline scorecards as well as tree-based machine-learning methods, depending on data availability and interpretability. For the options layer, the project will examine changes in implied volatility, skew, volumes, and open interest in order to characterize whether options markets price rebalance risk differently from the underlying cash market. The analysis will also consider simple hedging structures and relative-value implementations to evaluate whether apparent alpha survives after accounting for market exposure and downside risk. Econometric tools will include standard event-study techniques, abnormal-return estimation, cross-sectional regressions, classification evaluation, and robustness checks across indices and subperiods.</w:t>
      </w:r>
    </w:p>
    <w:p>
      <w:pPr>
        <w:pStyle w:val="Heading1"/>
        <w:spacing w:before="200" w:after="80"/>
      </w:pPr>
      <w:r>
        <w:t>Computational tools</w:t>
      </w:r>
    </w:p>
    <w:p>
      <w:pPr>
        <w:spacing w:line="269" w:lineRule="auto" w:after="120"/>
      </w:pPr>
      <w:r>
        <w:t>The project is expected to be implemented primarily in Python, using standard data-science and financial-econometrics libraries for data cleaning, event-time alignment, statistical modeling, machine learning, and visualization. Data sourcing and validation will likely involve a combination of Bloomberg exports, WRDS/CRSP/Compustat-style panel construction, and manual reconciliation against provider announcement files for the main indices. The final workflow will emphasize reproducibility by clearly documenting the sample-construction logic, date conventions, matching rules, and any assumptions needed to translate provider methodology into testable signals.</w:t>
      </w:r>
    </w:p>
    <w:p>
      <w:pPr>
        <w:pStyle w:val="Heading1"/>
        <w:spacing w:before="200" w:after="80"/>
      </w:pPr>
      <w:r>
        <w:t>Use of AI</w:t>
      </w:r>
    </w:p>
    <w:p>
      <w:pPr>
        <w:spacing w:line="269" w:lineRule="auto" w:after="120"/>
      </w:pPr>
      <w:r>
        <w:t>AI tools may be used as a research and drafting assistant, but not as a substitute for the underlying analytical work. In particular, AI may be used to help summarize methodology documents, organize code ideas, draft or revise prose, and accelerate exploratory brainstorming about features, event windows, and robustness checks. Any such use will be disclosed in the final report, and all final claims, data handling, code, and interpretations will be independently checked by the project team. The authors will remain fully responsible for the correctness of the analysis and written conclusions.</w:t>
      </w:r>
    </w:p>
    <w:p>
      <w:pPr>
        <w:pStyle w:val="Heading1"/>
        <w:spacing w:before="200" w:after="80"/>
      </w:pPr>
      <w:r>
        <w:t>Expected contribution</w:t>
      </w:r>
    </w:p>
    <w:p>
      <w:pPr>
        <w:spacing w:line="269" w:lineRule="auto" w:after="120"/>
      </w:pPr>
      <w:r>
        <w:t>The intended contribution of the project is not merely to show whether index rebalancing “works,” but to explain how the viability of the trade depends on index design. By comparing a discretionary large-cap benchmark, a more rules-based U.S. reconstitution index, an international geography index, and a factor-based benchmark under a common framework, the project aims to produce a practical map of where index rebalance trading appears predictable, where it appears execution-sensitive, and where it may no longer survive in its simplest form.</w:t>
      </w:r>
    </w:p>
    <w:p>
      <w:pPr>
        <w:pStyle w:val="Heading1"/>
      </w:pPr>
      <w:r>
        <w:t>Planned workstreams by index</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88"/>
            <w:shd w:fill="DCE6F1"/>
            <w:tcMar>
              <w:top w:w="90" w:type="dxa"/>
              <w:start w:w="100" w:type="dxa"/>
              <w:bottom w:w="90" w:type="dxa"/>
              <w:end w:w="100" w:type="dxa"/>
            </w:tcMar>
            <w:vAlign w:val="center"/>
          </w:tcPr>
          <w:p>
            <w:pPr>
              <w:jc w:val="center"/>
            </w:pPr>
            <w:r>
              <w:rPr>
                <w:b/>
                <w:color w:val="1F365F"/>
                <w:sz w:val="19"/>
              </w:rPr>
              <w:t>Index</w:t>
            </w:r>
          </w:p>
        </w:tc>
        <w:tc>
          <w:tcPr>
            <w:tcW w:type="dxa" w:w="2304"/>
            <w:shd w:fill="DCE6F1"/>
            <w:tcMar>
              <w:top w:w="90" w:type="dxa"/>
              <w:start w:w="100" w:type="dxa"/>
              <w:bottom w:w="90" w:type="dxa"/>
              <w:end w:w="100" w:type="dxa"/>
            </w:tcMar>
            <w:vAlign w:val="center"/>
          </w:tcPr>
          <w:p>
            <w:pPr>
              <w:jc w:val="center"/>
            </w:pPr>
            <w:r>
              <w:rPr>
                <w:b/>
                <w:color w:val="1F365F"/>
                <w:sz w:val="19"/>
              </w:rPr>
              <w:t>Type</w:t>
            </w:r>
          </w:p>
        </w:tc>
        <w:tc>
          <w:tcPr>
            <w:tcW w:type="dxa" w:w="3096"/>
            <w:shd w:fill="DCE6F1"/>
            <w:tcMar>
              <w:top w:w="90" w:type="dxa"/>
              <w:start w:w="100" w:type="dxa"/>
              <w:bottom w:w="90" w:type="dxa"/>
              <w:end w:w="100" w:type="dxa"/>
            </w:tcMar>
            <w:vAlign w:val="center"/>
          </w:tcPr>
          <w:p>
            <w:pPr>
              <w:jc w:val="center"/>
            </w:pPr>
            <w:r>
              <w:rPr>
                <w:b/>
                <w:color w:val="1F365F"/>
                <w:sz w:val="19"/>
              </w:rPr>
              <w:t>Core analyses</w:t>
            </w:r>
          </w:p>
        </w:tc>
        <w:tc>
          <w:tcPr>
            <w:tcW w:type="dxa" w:w="1728"/>
            <w:shd w:fill="DCE6F1"/>
            <w:tcMar>
              <w:top w:w="90" w:type="dxa"/>
              <w:start w:w="100" w:type="dxa"/>
              <w:bottom w:w="90" w:type="dxa"/>
              <w:end w:w="100" w:type="dxa"/>
            </w:tcMar>
            <w:vAlign w:val="center"/>
          </w:tcPr>
          <w:p>
            <w:pPr>
              <w:jc w:val="center"/>
            </w:pPr>
            <w:r>
              <w:rPr>
                <w:b/>
                <w:color w:val="1F365F"/>
                <w:sz w:val="19"/>
              </w:rPr>
              <w:t>Deeper extensions</w:t>
            </w:r>
          </w:p>
        </w:tc>
        <w:tc>
          <w:tcPr>
            <w:tcW w:type="dxa" w:w="1440"/>
            <w:shd w:fill="DCE6F1"/>
            <w:tcMar>
              <w:top w:w="90" w:type="dxa"/>
              <w:start w:w="100" w:type="dxa"/>
              <w:bottom w:w="90" w:type="dxa"/>
              <w:end w:w="100" w:type="dxa"/>
            </w:tcMar>
            <w:vAlign w:val="center"/>
          </w:tcPr>
          <w:p>
            <w:pPr>
              <w:jc w:val="center"/>
            </w:pPr>
            <w:r>
              <w:rPr>
                <w:b/>
                <w:color w:val="1F365F"/>
                <w:sz w:val="19"/>
              </w:rPr>
              <w:t>Priority</w:t>
            </w:r>
          </w:p>
        </w:tc>
      </w:tr>
      <w:tr>
        <w:tc>
          <w:tcPr>
            <w:tcW w:type="dxa" w:w="2088"/>
            <w:tcMar>
              <w:top w:w="85" w:type="dxa"/>
              <w:start w:w="95" w:type="dxa"/>
              <w:bottom w:w="85" w:type="dxa"/>
              <w:end w:w="95" w:type="dxa"/>
            </w:tcMar>
            <w:vAlign w:val="center"/>
            <w:shd w:fill="F8FBFF"/>
          </w:tcPr>
          <w:p>
            <w:pPr>
              <w:spacing w:after="0" w:line="252" w:lineRule="auto"/>
            </w:pPr>
            <w:r>
              <w:rPr>
                <w:b/>
                <w:color w:val="1F365F"/>
                <w:sz w:val="18"/>
              </w:rPr>
              <w:t>S&amp;P 500</w:t>
            </w:r>
          </w:p>
        </w:tc>
        <w:tc>
          <w:tcPr>
            <w:tcW w:type="dxa" w:w="2304"/>
            <w:tcMar>
              <w:top w:w="85" w:type="dxa"/>
              <w:start w:w="95" w:type="dxa"/>
              <w:bottom w:w="85" w:type="dxa"/>
              <w:end w:w="95" w:type="dxa"/>
            </w:tcMar>
            <w:vAlign w:val="center"/>
            <w:shd w:fill="F8FBFF"/>
          </w:tcPr>
          <w:p>
            <w:pPr>
              <w:spacing w:after="0" w:line="252" w:lineRule="auto"/>
            </w:pPr>
            <w:r>
              <w:rPr>
                <w:sz w:val="18"/>
              </w:rPr>
              <w:t>Broad market</w:t>
            </w:r>
          </w:p>
        </w:tc>
        <w:tc>
          <w:tcPr>
            <w:tcW w:type="dxa" w:w="3096"/>
            <w:tcMar>
              <w:top w:w="85" w:type="dxa"/>
              <w:start w:w="95" w:type="dxa"/>
              <w:bottom w:w="85" w:type="dxa"/>
              <w:end w:w="95" w:type="dxa"/>
            </w:tcMar>
            <w:vAlign w:val="center"/>
            <w:shd w:fill="FFFFFF"/>
          </w:tcPr>
          <w:p>
            <w:pPr>
              <w:spacing w:after="0" w:line="252" w:lineRule="auto"/>
            </w:pPr>
            <w:r>
              <w:rPr>
                <w:sz w:val="18"/>
              </w:rPr>
              <w:t>Event study; timing of trade; liquidity and auction sensitivity</w:t>
            </w:r>
          </w:p>
        </w:tc>
        <w:tc>
          <w:tcPr>
            <w:tcW w:type="dxa" w:w="1728"/>
            <w:tcMar>
              <w:top w:w="85" w:type="dxa"/>
              <w:start w:w="95" w:type="dxa"/>
              <w:bottom w:w="85" w:type="dxa"/>
              <w:end w:w="95" w:type="dxa"/>
            </w:tcMar>
            <w:vAlign w:val="center"/>
            <w:shd w:fill="FFFFFF"/>
          </w:tcPr>
          <w:p>
            <w:pPr>
              <w:spacing w:after="0" w:line="252" w:lineRule="auto"/>
            </w:pPr>
            <w:r>
              <w:rPr>
                <w:sz w:val="18"/>
              </w:rPr>
              <w:t>Options behavior; limited prediction; hedging study</w:t>
            </w:r>
          </w:p>
        </w:tc>
        <w:tc>
          <w:tcPr>
            <w:tcW w:type="dxa" w:w="1440"/>
            <w:tcMar>
              <w:top w:w="85" w:type="dxa"/>
              <w:start w:w="95" w:type="dxa"/>
              <w:bottom w:w="85" w:type="dxa"/>
              <w:end w:w="95" w:type="dxa"/>
            </w:tcMar>
            <w:vAlign w:val="center"/>
            <w:shd w:fill="F1F5F9"/>
          </w:tcPr>
          <w:p>
            <w:pPr>
              <w:spacing w:after="0" w:line="252" w:lineRule="auto"/>
              <w:jc w:val="center"/>
            </w:pPr>
            <w:r>
              <w:rPr>
                <w:sz w:val="18"/>
              </w:rPr>
              <w:t>High</w:t>
            </w:r>
          </w:p>
        </w:tc>
      </w:tr>
      <w:tr>
        <w:tc>
          <w:tcPr>
            <w:tcW w:type="dxa" w:w="2088"/>
            <w:tcMar>
              <w:top w:w="85" w:type="dxa"/>
              <w:start w:w="95" w:type="dxa"/>
              <w:bottom w:w="85" w:type="dxa"/>
              <w:end w:w="95" w:type="dxa"/>
            </w:tcMar>
            <w:vAlign w:val="center"/>
            <w:shd w:fill="F8FBFF"/>
          </w:tcPr>
          <w:p>
            <w:pPr>
              <w:spacing w:after="0" w:line="252" w:lineRule="auto"/>
            </w:pPr>
            <w:r>
              <w:rPr>
                <w:b/>
                <w:color w:val="1F365F"/>
                <w:sz w:val="18"/>
              </w:rPr>
              <w:t>Russell 2000</w:t>
            </w:r>
          </w:p>
        </w:tc>
        <w:tc>
          <w:tcPr>
            <w:tcW w:type="dxa" w:w="2304"/>
            <w:tcMar>
              <w:top w:w="85" w:type="dxa"/>
              <w:start w:w="95" w:type="dxa"/>
              <w:bottom w:w="85" w:type="dxa"/>
              <w:end w:w="95" w:type="dxa"/>
            </w:tcMar>
            <w:vAlign w:val="center"/>
            <w:shd w:fill="F8FBFF"/>
          </w:tcPr>
          <w:p>
            <w:pPr>
              <w:spacing w:after="0" w:line="252" w:lineRule="auto"/>
            </w:pPr>
            <w:r>
              <w:rPr>
                <w:sz w:val="18"/>
              </w:rPr>
              <w:t>Rules-based market</w:t>
            </w:r>
          </w:p>
        </w:tc>
        <w:tc>
          <w:tcPr>
            <w:tcW w:type="dxa" w:w="3096"/>
            <w:tcMar>
              <w:top w:w="85" w:type="dxa"/>
              <w:start w:w="95" w:type="dxa"/>
              <w:bottom w:w="85" w:type="dxa"/>
              <w:end w:w="95" w:type="dxa"/>
            </w:tcMar>
            <w:vAlign w:val="center"/>
            <w:shd w:fill="FFFFFF"/>
          </w:tcPr>
          <w:p>
            <w:pPr>
              <w:spacing w:after="0" w:line="252" w:lineRule="auto"/>
            </w:pPr>
            <w:r>
              <w:rPr>
                <w:sz w:val="18"/>
              </w:rPr>
              <w:t>Event study; timing of trade; additions/deletions panel</w:t>
            </w:r>
          </w:p>
        </w:tc>
        <w:tc>
          <w:tcPr>
            <w:tcW w:type="dxa" w:w="1728"/>
            <w:tcMar>
              <w:top w:w="85" w:type="dxa"/>
              <w:start w:w="95" w:type="dxa"/>
              <w:bottom w:w="85" w:type="dxa"/>
              <w:end w:w="95" w:type="dxa"/>
            </w:tcMar>
            <w:vAlign w:val="center"/>
            <w:shd w:fill="FFFFFF"/>
          </w:tcPr>
          <w:p>
            <w:pPr>
              <w:spacing w:after="0" w:line="252" w:lineRule="auto"/>
            </w:pPr>
            <w:r>
              <w:rPr>
                <w:sz w:val="18"/>
              </w:rPr>
              <w:t>Point-in-time prediction of adds/deletes</w:t>
            </w:r>
          </w:p>
        </w:tc>
        <w:tc>
          <w:tcPr>
            <w:tcW w:type="dxa" w:w="1440"/>
            <w:tcMar>
              <w:top w:w="85" w:type="dxa"/>
              <w:start w:w="95" w:type="dxa"/>
              <w:bottom w:w="85" w:type="dxa"/>
              <w:end w:w="95" w:type="dxa"/>
            </w:tcMar>
            <w:vAlign w:val="center"/>
            <w:shd w:fill="F1F5F9"/>
          </w:tcPr>
          <w:p>
            <w:pPr>
              <w:spacing w:after="0" w:line="252" w:lineRule="auto"/>
              <w:jc w:val="center"/>
            </w:pPr>
            <w:r>
              <w:rPr>
                <w:sz w:val="18"/>
              </w:rPr>
              <w:t>High</w:t>
            </w:r>
          </w:p>
        </w:tc>
      </w:tr>
      <w:tr>
        <w:tc>
          <w:tcPr>
            <w:tcW w:type="dxa" w:w="2088"/>
            <w:tcMar>
              <w:top w:w="85" w:type="dxa"/>
              <w:start w:w="95" w:type="dxa"/>
              <w:bottom w:w="85" w:type="dxa"/>
              <w:end w:w="95" w:type="dxa"/>
            </w:tcMar>
            <w:vAlign w:val="center"/>
            <w:shd w:fill="F8FBFF"/>
          </w:tcPr>
          <w:p>
            <w:pPr>
              <w:spacing w:after="0" w:line="252" w:lineRule="auto"/>
            </w:pPr>
            <w:r>
              <w:rPr>
                <w:b/>
                <w:color w:val="1F365F"/>
                <w:sz w:val="18"/>
              </w:rPr>
              <w:t>MSCI EM or Europe</w:t>
            </w:r>
          </w:p>
        </w:tc>
        <w:tc>
          <w:tcPr>
            <w:tcW w:type="dxa" w:w="2304"/>
            <w:tcMar>
              <w:top w:w="85" w:type="dxa"/>
              <w:start w:w="95" w:type="dxa"/>
              <w:bottom w:w="85" w:type="dxa"/>
              <w:end w:w="95" w:type="dxa"/>
            </w:tcMar>
            <w:vAlign w:val="center"/>
            <w:shd w:fill="F8FBFF"/>
          </w:tcPr>
          <w:p>
            <w:pPr>
              <w:spacing w:after="0" w:line="252" w:lineRule="auto"/>
            </w:pPr>
            <w:r>
              <w:rPr>
                <w:sz w:val="18"/>
              </w:rPr>
              <w:t>Geography</w:t>
            </w:r>
          </w:p>
        </w:tc>
        <w:tc>
          <w:tcPr>
            <w:tcW w:type="dxa" w:w="3096"/>
            <w:tcMar>
              <w:top w:w="85" w:type="dxa"/>
              <w:start w:w="95" w:type="dxa"/>
              <w:bottom w:w="85" w:type="dxa"/>
              <w:end w:w="95" w:type="dxa"/>
            </w:tcMar>
            <w:vAlign w:val="center"/>
            <w:shd w:fill="FFFFFF"/>
          </w:tcPr>
          <w:p>
            <w:pPr>
              <w:spacing w:after="0" w:line="252" w:lineRule="auto"/>
            </w:pPr>
            <w:r>
              <w:rPr>
                <w:sz w:val="18"/>
              </w:rPr>
              <w:t>Event study; compare international implementation frictions</w:t>
            </w:r>
          </w:p>
        </w:tc>
        <w:tc>
          <w:tcPr>
            <w:tcW w:type="dxa" w:w="1728"/>
            <w:tcMar>
              <w:top w:w="85" w:type="dxa"/>
              <w:start w:w="95" w:type="dxa"/>
              <w:bottom w:w="85" w:type="dxa"/>
              <w:end w:w="95" w:type="dxa"/>
            </w:tcMar>
            <w:vAlign w:val="center"/>
            <w:shd w:fill="FFFFFF"/>
          </w:tcPr>
          <w:p>
            <w:pPr>
              <w:spacing w:after="0" w:line="252" w:lineRule="auto"/>
            </w:pPr>
            <w:r>
              <w:rPr>
                <w:sz w:val="18"/>
              </w:rPr>
              <w:t>Selective prediction if review files are sufficient</w:t>
            </w:r>
          </w:p>
        </w:tc>
        <w:tc>
          <w:tcPr>
            <w:tcW w:type="dxa" w:w="1440"/>
            <w:tcMar>
              <w:top w:w="85" w:type="dxa"/>
              <w:start w:w="95" w:type="dxa"/>
              <w:bottom w:w="85" w:type="dxa"/>
              <w:end w:w="95" w:type="dxa"/>
            </w:tcMar>
            <w:vAlign w:val="center"/>
            <w:shd w:fill="F1F5F9"/>
          </w:tcPr>
          <w:p>
            <w:pPr>
              <w:spacing w:after="0" w:line="252" w:lineRule="auto"/>
              <w:jc w:val="center"/>
            </w:pPr>
            <w:r>
              <w:rPr>
                <w:sz w:val="18"/>
              </w:rPr>
              <w:t>High</w:t>
            </w:r>
          </w:p>
        </w:tc>
      </w:tr>
      <w:tr>
        <w:tc>
          <w:tcPr>
            <w:tcW w:type="dxa" w:w="2088"/>
            <w:tcMar>
              <w:top w:w="85" w:type="dxa"/>
              <w:start w:w="95" w:type="dxa"/>
              <w:bottom w:w="85" w:type="dxa"/>
              <w:end w:w="95" w:type="dxa"/>
            </w:tcMar>
            <w:vAlign w:val="center"/>
            <w:shd w:fill="F8FBFF"/>
          </w:tcPr>
          <w:p>
            <w:pPr>
              <w:spacing w:after="0" w:line="252" w:lineRule="auto"/>
            </w:pPr>
            <w:r>
              <w:rPr>
                <w:b/>
                <w:color w:val="1F365F"/>
                <w:sz w:val="18"/>
              </w:rPr>
              <w:t>MSCI/S&amp;P factor index</w:t>
            </w:r>
          </w:p>
        </w:tc>
        <w:tc>
          <w:tcPr>
            <w:tcW w:type="dxa" w:w="2304"/>
            <w:tcMar>
              <w:top w:w="85" w:type="dxa"/>
              <w:start w:w="95" w:type="dxa"/>
              <w:bottom w:w="85" w:type="dxa"/>
              <w:end w:w="95" w:type="dxa"/>
            </w:tcMar>
            <w:vAlign w:val="center"/>
            <w:shd w:fill="F8FBFF"/>
          </w:tcPr>
          <w:p>
            <w:pPr>
              <w:spacing w:after="0" w:line="252" w:lineRule="auto"/>
            </w:pPr>
            <w:r>
              <w:rPr>
                <w:sz w:val="18"/>
              </w:rPr>
              <w:t>Factor-based</w:t>
            </w:r>
          </w:p>
        </w:tc>
        <w:tc>
          <w:tcPr>
            <w:tcW w:type="dxa" w:w="3096"/>
            <w:tcMar>
              <w:top w:w="85" w:type="dxa"/>
              <w:start w:w="95" w:type="dxa"/>
              <w:bottom w:w="85" w:type="dxa"/>
              <w:end w:w="95" w:type="dxa"/>
            </w:tcMar>
            <w:vAlign w:val="center"/>
            <w:shd w:fill="FFFFFF"/>
          </w:tcPr>
          <w:p>
            <w:pPr>
              <w:spacing w:after="0" w:line="252" w:lineRule="auto"/>
            </w:pPr>
            <w:r>
              <w:rPr>
                <w:sz w:val="18"/>
              </w:rPr>
              <w:t>Event study; methodology-driven turnover analysis</w:t>
            </w:r>
          </w:p>
        </w:tc>
        <w:tc>
          <w:tcPr>
            <w:tcW w:type="dxa" w:w="1728"/>
            <w:tcMar>
              <w:top w:w="85" w:type="dxa"/>
              <w:start w:w="95" w:type="dxa"/>
              <w:bottom w:w="85" w:type="dxa"/>
              <w:end w:w="95" w:type="dxa"/>
            </w:tcMar>
            <w:vAlign w:val="center"/>
            <w:shd w:fill="FFFFFF"/>
          </w:tcPr>
          <w:p>
            <w:pPr>
              <w:spacing w:after="0" w:line="252" w:lineRule="auto"/>
            </w:pPr>
            <w:r>
              <w:rPr>
                <w:sz w:val="18"/>
              </w:rPr>
              <w:t>Prediction using factor inputs if reconstructable</w:t>
            </w:r>
          </w:p>
        </w:tc>
        <w:tc>
          <w:tcPr>
            <w:tcW w:type="dxa" w:w="1440"/>
            <w:tcMar>
              <w:top w:w="85" w:type="dxa"/>
              <w:start w:w="95" w:type="dxa"/>
              <w:bottom w:w="85" w:type="dxa"/>
              <w:end w:w="95" w:type="dxa"/>
            </w:tcMar>
            <w:vAlign w:val="center"/>
            <w:shd w:fill="F1F5F9"/>
          </w:tcPr>
          <w:p>
            <w:pPr>
              <w:spacing w:after="0" w:line="252" w:lineRule="auto"/>
              <w:jc w:val="center"/>
            </w:pPr>
            <w:r>
              <w:rPr>
                <w:sz w:val="18"/>
              </w:rPr>
              <w:t>Medium-High</w:t>
            </w:r>
          </w:p>
        </w:tc>
      </w:tr>
      <w:tr>
        <w:tc>
          <w:tcPr>
            <w:tcW w:type="dxa" w:w="2088"/>
            <w:tcMar>
              <w:top w:w="85" w:type="dxa"/>
              <w:start w:w="95" w:type="dxa"/>
              <w:bottom w:w="85" w:type="dxa"/>
              <w:end w:w="95" w:type="dxa"/>
            </w:tcMar>
            <w:vAlign w:val="center"/>
            <w:shd w:fill="F8FBFF"/>
          </w:tcPr>
          <w:p>
            <w:pPr>
              <w:spacing w:after="0" w:line="252" w:lineRule="auto"/>
            </w:pPr>
            <w:r>
              <w:rPr>
                <w:b/>
                <w:color w:val="1F365F"/>
                <w:sz w:val="18"/>
              </w:rPr>
              <w:t>S&amp;P thematic/sector-style index</w:t>
            </w:r>
          </w:p>
        </w:tc>
        <w:tc>
          <w:tcPr>
            <w:tcW w:type="dxa" w:w="2304"/>
            <w:tcMar>
              <w:top w:w="85" w:type="dxa"/>
              <w:start w:w="95" w:type="dxa"/>
              <w:bottom w:w="85" w:type="dxa"/>
              <w:end w:w="95" w:type="dxa"/>
            </w:tcMar>
            <w:vAlign w:val="center"/>
            <w:shd w:fill="F8FBFF"/>
          </w:tcPr>
          <w:p>
            <w:pPr>
              <w:spacing w:after="0" w:line="252" w:lineRule="auto"/>
            </w:pPr>
            <w:r>
              <w:rPr>
                <w:sz w:val="18"/>
              </w:rPr>
              <w:t>Thematic or sector</w:t>
            </w:r>
          </w:p>
        </w:tc>
        <w:tc>
          <w:tcPr>
            <w:tcW w:type="dxa" w:w="3096"/>
            <w:tcMar>
              <w:top w:w="85" w:type="dxa"/>
              <w:start w:w="95" w:type="dxa"/>
              <w:bottom w:w="85" w:type="dxa"/>
              <w:end w:w="95" w:type="dxa"/>
            </w:tcMar>
            <w:vAlign w:val="center"/>
            <w:shd w:fill="FFFFFF"/>
          </w:tcPr>
          <w:p>
            <w:pPr>
              <w:spacing w:after="0" w:line="252" w:lineRule="auto"/>
            </w:pPr>
            <w:r>
              <w:rPr>
                <w:sz w:val="18"/>
              </w:rPr>
              <w:t>Event study where feasible</w:t>
            </w:r>
          </w:p>
        </w:tc>
        <w:tc>
          <w:tcPr>
            <w:tcW w:type="dxa" w:w="1728"/>
            <w:tcMar>
              <w:top w:w="85" w:type="dxa"/>
              <w:start w:w="95" w:type="dxa"/>
              <w:bottom w:w="85" w:type="dxa"/>
              <w:end w:w="95" w:type="dxa"/>
            </w:tcMar>
            <w:vAlign w:val="center"/>
            <w:shd w:fill="FFFFFF"/>
          </w:tcPr>
          <w:p>
            <w:pPr>
              <w:spacing w:after="0" w:line="252" w:lineRule="auto"/>
            </w:pPr>
            <w:r>
              <w:rPr>
                <w:sz w:val="18"/>
              </w:rPr>
              <w:t>Narrower-case comparison</w:t>
            </w:r>
          </w:p>
        </w:tc>
        <w:tc>
          <w:tcPr>
            <w:tcW w:type="dxa" w:w="1440"/>
            <w:tcMar>
              <w:top w:w="85" w:type="dxa"/>
              <w:start w:w="95" w:type="dxa"/>
              <w:bottom w:w="85" w:type="dxa"/>
              <w:end w:w="95" w:type="dxa"/>
            </w:tcMar>
            <w:vAlign w:val="center"/>
            <w:shd w:fill="F1F5F9"/>
          </w:tcPr>
          <w:p>
            <w:pPr>
              <w:spacing w:after="0" w:line="252" w:lineRule="auto"/>
              <w:jc w:val="center"/>
            </w:pPr>
            <w:r>
              <w:rPr>
                <w:sz w:val="18"/>
              </w:rPr>
              <w:t>Medium</w:t>
            </w:r>
          </w:p>
        </w:tc>
      </w:tr>
      <w:tr>
        <w:tc>
          <w:tcPr>
            <w:tcW w:type="dxa" w:w="2088"/>
            <w:tcMar>
              <w:top w:w="85" w:type="dxa"/>
              <w:start w:w="95" w:type="dxa"/>
              <w:bottom w:w="85" w:type="dxa"/>
              <w:end w:w="95" w:type="dxa"/>
            </w:tcMar>
            <w:vAlign w:val="center"/>
            <w:shd w:fill="F8FBFF"/>
          </w:tcPr>
          <w:p>
            <w:pPr>
              <w:spacing w:after="0" w:line="252" w:lineRule="auto"/>
            </w:pPr>
            <w:r>
              <w:rPr>
                <w:b/>
                <w:color w:val="1F365F"/>
                <w:sz w:val="18"/>
              </w:rPr>
              <w:t>Fixed income / commodities</w:t>
            </w:r>
          </w:p>
        </w:tc>
        <w:tc>
          <w:tcPr>
            <w:tcW w:type="dxa" w:w="2304"/>
            <w:tcMar>
              <w:top w:w="85" w:type="dxa"/>
              <w:start w:w="95" w:type="dxa"/>
              <w:bottom w:w="85" w:type="dxa"/>
              <w:end w:w="95" w:type="dxa"/>
            </w:tcMar>
            <w:vAlign w:val="center"/>
            <w:shd w:fill="F8FBFF"/>
          </w:tcPr>
          <w:p>
            <w:pPr>
              <w:spacing w:after="0" w:line="252" w:lineRule="auto"/>
            </w:pPr>
            <w:r>
              <w:rPr>
                <w:sz w:val="18"/>
              </w:rPr>
              <w:t>Optional extension</w:t>
            </w:r>
          </w:p>
        </w:tc>
        <w:tc>
          <w:tcPr>
            <w:tcW w:type="dxa" w:w="3096"/>
            <w:tcMar>
              <w:top w:w="85" w:type="dxa"/>
              <w:start w:w="95" w:type="dxa"/>
              <w:bottom w:w="85" w:type="dxa"/>
              <w:end w:w="95" w:type="dxa"/>
            </w:tcMar>
            <w:vAlign w:val="center"/>
            <w:shd w:fill="FFFFFF"/>
          </w:tcPr>
          <w:p>
            <w:pPr>
              <w:spacing w:after="0" w:line="252" w:lineRule="auto"/>
            </w:pPr>
            <w:r>
              <w:rPr>
                <w:sz w:val="18"/>
              </w:rPr>
              <w:t>Only if constituent history is available cleanly</w:t>
            </w:r>
          </w:p>
        </w:tc>
        <w:tc>
          <w:tcPr>
            <w:tcW w:type="dxa" w:w="1728"/>
            <w:tcMar>
              <w:top w:w="85" w:type="dxa"/>
              <w:start w:w="95" w:type="dxa"/>
              <w:bottom w:w="85" w:type="dxa"/>
              <w:end w:w="95" w:type="dxa"/>
            </w:tcMar>
            <w:vAlign w:val="center"/>
            <w:shd w:fill="FFFFFF"/>
          </w:tcPr>
          <w:p>
            <w:pPr>
              <w:spacing w:after="0" w:line="252" w:lineRule="auto"/>
            </w:pPr>
            <w:r>
              <w:rPr>
                <w:sz w:val="18"/>
              </w:rPr>
              <w:t>Exploratory only</w:t>
            </w:r>
          </w:p>
        </w:tc>
        <w:tc>
          <w:tcPr>
            <w:tcW w:type="dxa" w:w="1440"/>
            <w:tcMar>
              <w:top w:w="85" w:type="dxa"/>
              <w:start w:w="95" w:type="dxa"/>
              <w:bottom w:w="85" w:type="dxa"/>
              <w:end w:w="95" w:type="dxa"/>
            </w:tcMar>
            <w:vAlign w:val="center"/>
            <w:shd w:fill="F1F5F9"/>
          </w:tcPr>
          <w:p>
            <w:pPr>
              <w:spacing w:after="0" w:line="252" w:lineRule="auto"/>
              <w:jc w:val="center"/>
            </w:pPr>
            <w:r>
              <w:rPr>
                <w:sz w:val="18"/>
              </w:rPr>
              <w:t>Optional</w:t>
            </w:r>
          </w:p>
        </w:tc>
      </w:tr>
    </w:tbl>
    <w:p/>
    <w:p>
      <w:pPr>
        <w:spacing w:before="120"/>
        <w:jc w:val="left"/>
      </w:pPr>
      <w:r>
        <w:rPr>
          <w:i/>
          <w:color w:val="5A626C"/>
          <w:sz w:val="19"/>
        </w:rPr>
        <w:t>Note: This proposal is intentionally structured so that all indices receive a common event-study treatment, while deeper modules are applied only where the historical data support a reproducible analysis.</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26C"/>
        <w:sz w:val="17"/>
      </w:rPr>
      <w:t>15.458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F36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A6F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A6F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Title"/>
    <w:rPr>
      <w:rFonts w:ascii="Aptos Display" w:hAnsi="Aptos Display" w:eastAsia="Aptos Display"/>
      <w:b/>
      <w:color w:val="1F365F"/>
      <w:sz w:val="44"/>
    </w:rPr>
  </w:style>
  <w:style w:type="paragraph" w:customStyle="1" w:styleId="BoxText">
    <w:name w:val="BoxText"/>
    <w:rPr>
      <w:rFonts w:ascii="Aptos" w:hAnsi="Aptos" w:eastAsia="Aptos"/>
      <w:color w:val="32323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