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EB16" w14:textId="77777777" w:rsidR="00BF6E80" w:rsidRDefault="00000000">
      <w:pPr>
        <w:pStyle w:val="Heading1"/>
      </w:pPr>
      <w:bookmarkStart w:id="0" w:name="homework-5-expanded-presentation-content"/>
      <w:r>
        <w:t>Homework 5 — Expanded presentation content</w:t>
      </w:r>
    </w:p>
    <w:p w14:paraId="077F9120" w14:textId="2A79E8A9" w:rsidR="00BF6E80" w:rsidRDefault="00000000">
      <w:pPr>
        <w:pStyle w:val="FirstParagraph"/>
      </w:pPr>
      <w:r>
        <w:rPr>
          <w:b/>
          <w:bCs/>
        </w:rPr>
        <w:t>Use this for the 3–5 minute presentation and Gradescope write-up.</w:t>
      </w:r>
      <w:r>
        <w:br/>
        <w:t xml:space="preserve">Sections are in order. </w:t>
      </w:r>
      <w:r>
        <w:rPr>
          <w:b/>
          <w:bCs/>
        </w:rPr>
        <w:t>Highlight</w:t>
      </w:r>
      <w:r>
        <w:t xml:space="preserve"> lines are the most impactful takeaways—stress these when presenting.</w:t>
      </w:r>
      <w:r w:rsidR="007B72ED">
        <w:t xml:space="preserve"> Nikhilesh and Belulkar </w:t>
      </w:r>
    </w:p>
    <w:p w14:paraId="43EF1BD7" w14:textId="77777777" w:rsidR="00BF6E80" w:rsidRDefault="00BD7125">
      <w:r>
        <w:rPr>
          <w:noProof/>
        </w:rPr>
        <w:pict w14:anchorId="439BAFAF">
          <v:rect id="_x0000_i1032" alt="" style="width:468pt;height:.05pt;mso-width-percent:0;mso-height-percent:0;mso-width-percent:0;mso-height-percent:0" o:hralign="center" o:hrstd="t" o:hr="t"/>
        </w:pict>
      </w:r>
    </w:p>
    <w:p w14:paraId="470BEF2E" w14:textId="77777777" w:rsidR="00BF6E80" w:rsidRDefault="00000000">
      <w:pPr>
        <w:pStyle w:val="Heading2"/>
      </w:pPr>
      <w:bookmarkStart w:id="1" w:name="assumptions"/>
      <w:r>
        <w:t>1. Assumptions</w:t>
      </w:r>
    </w:p>
    <w:p w14:paraId="2FE39D04" w14:textId="77777777" w:rsidR="00BF6E80" w:rsidRDefault="00000000">
      <w:pPr>
        <w:pStyle w:val="FirstParagraph"/>
      </w:pPr>
      <w:r>
        <w:t xml:space="preserve">We needed a stationary series to fit AR/ARMA/ARMAX, but we did </w:t>
      </w:r>
      <w:r>
        <w:rPr>
          <w:b/>
          <w:bCs/>
        </w:rPr>
        <w:t>not</w:t>
      </w:r>
      <w:r>
        <w:t xml:space="preserve"> assume stationarity—we </w:t>
      </w:r>
      <w:r>
        <w:rPr>
          <w:b/>
          <w:bCs/>
        </w:rPr>
        <w:t>tested</w:t>
      </w:r>
      <w:r>
        <w:t xml:space="preserve"> it. The Augmented Dickey–Fuller test on the raw Boston housing series showed it was </w:t>
      </w:r>
      <w:r>
        <w:rPr>
          <w:b/>
          <w:bCs/>
        </w:rPr>
        <w:t>non-stationary</w:t>
      </w:r>
      <w:r>
        <w:t xml:space="preserve"> (trend). After OLS linear detrending, we re-ran the ADF test on the residuals and treated the detrended series as stationary enough to model. So stationarity was something we </w:t>
      </w:r>
      <w:r>
        <w:rPr>
          <w:b/>
          <w:bCs/>
        </w:rPr>
        <w:t>checked</w:t>
      </w:r>
      <w:r>
        <w:t>, not assumed.</w:t>
      </w:r>
    </w:p>
    <w:p w14:paraId="4A0B6C1B" w14:textId="77777777" w:rsidR="00BF6E80" w:rsidRDefault="00000000">
      <w:pPr>
        <w:pStyle w:val="BodyText"/>
      </w:pPr>
      <w:r>
        <w:t xml:space="preserve">We also implicitly assumed </w:t>
      </w:r>
      <w:r>
        <w:rPr>
          <w:b/>
          <w:bCs/>
        </w:rPr>
        <w:t>linearity</w:t>
      </w:r>
      <w:r>
        <w:t xml:space="preserve">: the relationship between the series and its lags (and between the series and the interest rate in ARX/ARMAX) is linear. The model class is linear in the lags. For the </w:t>
      </w:r>
      <w:r>
        <w:rPr>
          <w:b/>
          <w:bCs/>
        </w:rPr>
        <w:t>credit–housing link</w:t>
      </w:r>
      <w:r>
        <w:t xml:space="preserve">, we assumed that housing prices are influenced by credit conditions, so the 30-year mortgage rate should relate to prices or their changes. We didn’t assume that blindly: for Boston 2010–2017 we computed </w:t>
      </w:r>
      <w:r>
        <w:rPr>
          <w:b/>
          <w:bCs/>
        </w:rPr>
        <w:t>corr(Δ price, interest rate level) = −0.40 (p ≈ 0)</w:t>
      </w:r>
      <w:r>
        <w:t xml:space="preserve">—a statistically significant moderate negative correlation—and </w:t>
      </w:r>
      <w:r>
        <w:rPr>
          <w:b/>
          <w:bCs/>
        </w:rPr>
        <w:t>corr(Δ price, Δ rate) = 0.17 (p = 0.11)</w:t>
      </w:r>
      <w:r>
        <w:t xml:space="preserve">, which is not significant. So the </w:t>
      </w:r>
      <w:r>
        <w:rPr>
          <w:b/>
          <w:bCs/>
        </w:rPr>
        <w:t>level</w:t>
      </w:r>
      <w:r>
        <w:t xml:space="preserve"> of the rate matters more than its month-to-month change, and we then evaluated whether ARX/ARMAX actually improved out-of-sample MSE over AR.</w:t>
      </w:r>
    </w:p>
    <w:p w14:paraId="333F36DA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We </w:t>
      </w:r>
      <w:r>
        <w:rPr>
          <w:b/>
          <w:bCs/>
        </w:rPr>
        <w:t>tested</w:t>
      </w:r>
      <w:r>
        <w:t xml:space="preserve"> stationarity (ADF) and the credit link (correlations and AR vs ARX/ARMAX); we didn’t assume them. The number to remember: </w:t>
      </w:r>
      <w:r>
        <w:rPr>
          <w:b/>
          <w:bCs/>
        </w:rPr>
        <w:t>r = −0.40 (p ≈ 0)</w:t>
      </w:r>
      <w:r>
        <w:t xml:space="preserve"> for change in price vs interest rate level.</w:t>
      </w:r>
    </w:p>
    <w:p w14:paraId="1B282A61" w14:textId="77777777" w:rsidR="00BF6E80" w:rsidRDefault="00BD7125">
      <w:r>
        <w:rPr>
          <w:noProof/>
        </w:rPr>
        <w:pict w14:anchorId="58EF6071">
          <v:rect id="_x0000_i1031" alt="" style="width:468pt;height:.05pt;mso-width-percent:0;mso-height-percent:0;mso-width-percent:0;mso-height-percent:0" o:hralign="center" o:hrstd="t" o:hr="t"/>
        </w:pict>
      </w:r>
    </w:p>
    <w:p w14:paraId="6EEE9544" w14:textId="77777777" w:rsidR="00BF6E80" w:rsidRDefault="00000000">
      <w:pPr>
        <w:pStyle w:val="Heading2"/>
      </w:pPr>
      <w:bookmarkStart w:id="2" w:name="trend-removal"/>
      <w:bookmarkEnd w:id="1"/>
      <w:r>
        <w:t>2. Trend removal</w:t>
      </w:r>
    </w:p>
    <w:p w14:paraId="51E13D39" w14:textId="77777777" w:rsidR="00BF6E80" w:rsidRDefault="00000000">
      <w:pPr>
        <w:pStyle w:val="FirstParagraph"/>
      </w:pPr>
      <w:r>
        <w:t xml:space="preserve">We removed the trend so the residual could be treated as stationary. We used </w:t>
      </w:r>
      <w:r>
        <w:rPr>
          <w:b/>
          <w:bCs/>
        </w:rPr>
        <w:t>OLS linear detrending</w:t>
      </w:r>
      <w:r>
        <w:t xml:space="preserve">: regress the series on a time index and use the </w:t>
      </w:r>
      <w:r>
        <w:rPr>
          <w:b/>
          <w:bCs/>
        </w:rPr>
        <w:t>residuals</w:t>
      </w:r>
      <w:r>
        <w:t xml:space="preserve"> as the detrended series, then validated with the ADF test on those residuals. Other options include </w:t>
      </w:r>
      <w:r>
        <w:rPr>
          <w:b/>
          <w:bCs/>
        </w:rPr>
        <w:t>differencing</w:t>
      </w:r>
      <w:r>
        <w:t xml:space="preserve"> (e.g. first difference for a unit root), higher-order differencing, or fitting a polynomial or spline trend and subtracting it. We’d choose </w:t>
      </w:r>
      <w:r>
        <w:rPr>
          <w:b/>
          <w:bCs/>
        </w:rPr>
        <w:t>linear OLS detrend</w:t>
      </w:r>
      <w:r>
        <w:t xml:space="preserve"> again when the trend looks roughly linear—it’s simple, interpretable, and easy to add back for forecasts—or </w:t>
      </w:r>
      <w:r>
        <w:rPr>
          <w:b/>
          <w:bCs/>
        </w:rPr>
        <w:t>differencing</w:t>
      </w:r>
      <w:r>
        <w:t xml:space="preserve"> when the ADF suggests a unit root and we care about growth rates.</w:t>
      </w:r>
    </w:p>
    <w:p w14:paraId="48F6A6B9" w14:textId="77777777" w:rsidR="00BF6E80" w:rsidRDefault="00000000">
      <w:pPr>
        <w:pStyle w:val="BlockText"/>
      </w:pPr>
      <w:r>
        <w:rPr>
          <w:b/>
          <w:bCs/>
        </w:rPr>
        <w:lastRenderedPageBreak/>
        <w:t>Highlight:</w:t>
      </w:r>
      <w:r>
        <w:t xml:space="preserve"> We used </w:t>
      </w:r>
      <w:r>
        <w:rPr>
          <w:b/>
          <w:bCs/>
        </w:rPr>
        <w:t>OLS linear detrend</w:t>
      </w:r>
      <w:r>
        <w:t xml:space="preserve">, validated with </w:t>
      </w:r>
      <w:r>
        <w:rPr>
          <w:b/>
          <w:bCs/>
        </w:rPr>
        <w:t>ADF on residuals</w:t>
      </w:r>
      <w:r>
        <w:t>. For a similar project we’d do the same when the trend is roughly linear, or use differencing if the series has a unit root.</w:t>
      </w:r>
    </w:p>
    <w:p w14:paraId="3966DA14" w14:textId="77777777" w:rsidR="00BF6E80" w:rsidRDefault="00BD7125">
      <w:r>
        <w:rPr>
          <w:noProof/>
        </w:rPr>
        <w:pict w14:anchorId="0F3AFC3A">
          <v:rect id="_x0000_i1030" alt="" style="width:468pt;height:.05pt;mso-width-percent:0;mso-height-percent:0;mso-width-percent:0;mso-height-percent:0" o:hralign="center" o:hrstd="t" o:hr="t"/>
        </w:pict>
      </w:r>
    </w:p>
    <w:p w14:paraId="39C9070F" w14:textId="77777777" w:rsidR="00BF6E80" w:rsidRDefault="00000000">
      <w:pPr>
        <w:pStyle w:val="Heading2"/>
      </w:pPr>
      <w:bookmarkStart w:id="3" w:name="X9b87e292b08427c6140b0f0c2c507280d96107c"/>
      <w:bookmarkEnd w:id="2"/>
      <w:r>
        <w:t>3. Generalization (new dataset, similar prediction task)</w:t>
      </w:r>
    </w:p>
    <w:p w14:paraId="7020A376" w14:textId="77777777" w:rsidR="00BF6E80" w:rsidRDefault="00000000">
      <w:pPr>
        <w:pStyle w:val="FirstParagraph"/>
      </w:pPr>
      <w:r>
        <w:t xml:space="preserve">For a new dataset and a similar prediction task we’d: (1) </w:t>
      </w:r>
      <w:r>
        <w:rPr>
          <w:b/>
          <w:bCs/>
        </w:rPr>
        <w:t>Explore</w:t>
      </w:r>
      <w:r>
        <w:t xml:space="preserve">—plot the series, check for missing values, and define the prediction target (level vs change, horizon). (2) </w:t>
      </w:r>
      <w:r>
        <w:rPr>
          <w:b/>
          <w:bCs/>
        </w:rPr>
        <w:t>Stationarity</w:t>
      </w:r>
      <w:r>
        <w:t xml:space="preserve">—run the </w:t>
      </w:r>
      <w:r>
        <w:rPr>
          <w:b/>
          <w:bCs/>
        </w:rPr>
        <w:t>Augmented Dickey–Fuller test</w:t>
      </w:r>
      <w:r>
        <w:t xml:space="preserve">; if the series is non-stationary, detrend or difference and re-test. (3) </w:t>
      </w:r>
      <w:r>
        <w:rPr>
          <w:b/>
          <w:bCs/>
        </w:rPr>
        <w:t>Correlations and lags</w:t>
      </w:r>
      <w:r>
        <w:t xml:space="preserve">—run basic correlations (e.g. target vs exogenous variable) and, from the course, look at </w:t>
      </w:r>
      <w:r>
        <w:rPr>
          <w:b/>
          <w:bCs/>
        </w:rPr>
        <w:t>cross-correlation</w:t>
      </w:r>
      <w:r>
        <w:t xml:space="preserve"> between the two signals (or power spectrum / cross-spectrum) to see </w:t>
      </w:r>
      <w:r>
        <w:rPr>
          <w:b/>
          <w:bCs/>
        </w:rPr>
        <w:t>which lags are meaningful</w:t>
      </w:r>
      <w:r>
        <w:t xml:space="preserve">, and </w:t>
      </w:r>
      <w:r>
        <w:rPr>
          <w:b/>
          <w:bCs/>
        </w:rPr>
        <w:t>test the statistical significance</w:t>
      </w:r>
      <w:r>
        <w:t xml:space="preserve"> of those lags, not just their size. (4) </w:t>
      </w:r>
      <w:r>
        <w:rPr>
          <w:b/>
          <w:bCs/>
        </w:rPr>
        <w:t>Model class</w:t>
      </w:r>
      <w:r>
        <w:t xml:space="preserve">—start with AR using ACF/PACF, then ARMA/ARMAX if we have an exogenous variable. (5) </w:t>
      </w:r>
      <w:r>
        <w:rPr>
          <w:b/>
          <w:bCs/>
        </w:rPr>
        <w:t>Order selection</w:t>
      </w:r>
      <w:r>
        <w:t xml:space="preserve">—use AIC/BIC and/or out-of-sample MSE (e.g. rolling one-step-ahead). (6) </w:t>
      </w:r>
      <w:r>
        <w:rPr>
          <w:b/>
          <w:bCs/>
        </w:rPr>
        <w:t>Evaluate</w:t>
      </w:r>
      <w:r>
        <w:t xml:space="preserve">—hold out a test period and report MSE, RMSE, or MAE and compare models (e.g. AR vs ARX). We’d use </w:t>
      </w:r>
      <w:r>
        <w:rPr>
          <w:b/>
          <w:bCs/>
        </w:rPr>
        <w:t>AR/ARMA</w:t>
      </w:r>
      <w:r>
        <w:t xml:space="preserve"> when we only have one series, and </w:t>
      </w:r>
      <w:r>
        <w:rPr>
          <w:b/>
          <w:bCs/>
        </w:rPr>
        <w:t>ARX/ARMAX</w:t>
      </w:r>
      <w:r>
        <w:t xml:space="preserve"> when we have a plausible exogenous driver that improves out-of-sample performance. Dataset type and </w:t>
      </w:r>
      <w:r>
        <w:rPr>
          <w:b/>
          <w:bCs/>
        </w:rPr>
        <w:t>domain knowledge</w:t>
      </w:r>
      <w:r>
        <w:t xml:space="preserve"> both matter—frequency, trend/seasonality, and choice of exogenous variable (e.g. mortgage rate for housing).</w:t>
      </w:r>
    </w:p>
    <w:p w14:paraId="2F2BDDFB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Same pipeline: </w:t>
      </w:r>
      <w:r>
        <w:rPr>
          <w:b/>
          <w:bCs/>
        </w:rPr>
        <w:t>plot → ADF for stationarity → cross-correlation / significance of lags → AR/ARMA or ARX/ARMAX → AIC/BIC and out-of-sample MSE.</w:t>
      </w:r>
      <w:r>
        <w:t xml:space="preserve"> Test which lags are </w:t>
      </w:r>
      <w:r>
        <w:rPr>
          <w:b/>
          <w:bCs/>
        </w:rPr>
        <w:t>statistically significant</w:t>
      </w:r>
      <w:r>
        <w:t>, not just large.</w:t>
      </w:r>
    </w:p>
    <w:p w14:paraId="40EFA041" w14:textId="77777777" w:rsidR="00BF6E80" w:rsidRDefault="00BD7125">
      <w:r>
        <w:rPr>
          <w:noProof/>
        </w:rPr>
        <w:pict w14:anchorId="24C1B508">
          <v:rect id="_x0000_i1029" alt="" style="width:468pt;height:.05pt;mso-width-percent:0;mso-height-percent:0;mso-width-percent:0;mso-height-percent:0" o:hralign="center" o:hrstd="t" o:hr="t"/>
        </w:pict>
      </w:r>
    </w:p>
    <w:p w14:paraId="43E3AEB0" w14:textId="77777777" w:rsidR="00BF6E80" w:rsidRDefault="00000000">
      <w:pPr>
        <w:pStyle w:val="Heading2"/>
      </w:pPr>
      <w:bookmarkStart w:id="4" w:name="evaluation-metrics"/>
      <w:bookmarkEnd w:id="3"/>
      <w:r>
        <w:t>4. Evaluation metrics</w:t>
      </w:r>
    </w:p>
    <w:p w14:paraId="10B15DF2" w14:textId="77777777" w:rsidR="00BF6E80" w:rsidRDefault="00000000">
      <w:pPr>
        <w:pStyle w:val="FirstParagraph"/>
      </w:pPr>
      <w:r>
        <w:t xml:space="preserve">For </w:t>
      </w:r>
      <w:r>
        <w:rPr>
          <w:b/>
          <w:bCs/>
        </w:rPr>
        <w:t>prediction accuracy</w:t>
      </w:r>
      <w:r>
        <w:t xml:space="preserve"> we focused on </w:t>
      </w:r>
      <w:r>
        <w:rPr>
          <w:b/>
          <w:bCs/>
        </w:rPr>
        <w:t>MSE</w:t>
      </w:r>
      <w:r>
        <w:t xml:space="preserve">, </w:t>
      </w:r>
      <w:r>
        <w:rPr>
          <w:b/>
          <w:bCs/>
        </w:rPr>
        <w:t>RMSE</w:t>
      </w:r>
      <w:r>
        <w:t xml:space="preserve">, and </w:t>
      </w:r>
      <w:r>
        <w:rPr>
          <w:b/>
          <w:bCs/>
        </w:rPr>
        <w:t>MAE</w:t>
      </w:r>
      <w:r>
        <w:t xml:space="preserve">: MSE penalizes large errors more, RMSE is on the same scale as the variable, and MAE is more robust to outliers. For </w:t>
      </w:r>
      <w:r>
        <w:rPr>
          <w:b/>
          <w:bCs/>
        </w:rPr>
        <w:t>model choice</w:t>
      </w:r>
      <w:r>
        <w:t xml:space="preserve"> we used </w:t>
      </w:r>
      <w:r>
        <w:rPr>
          <w:b/>
          <w:bCs/>
        </w:rPr>
        <w:t>AIC</w:t>
      </w:r>
      <w:r>
        <w:t xml:space="preserve"> and </w:t>
      </w:r>
      <w:r>
        <w:rPr>
          <w:b/>
          <w:bCs/>
        </w:rPr>
        <w:t>BIC</w:t>
      </w:r>
      <w:r>
        <w:t xml:space="preserve"> to balance fit and complexity and to select orders </w:t>
      </w:r>
      <w:r>
        <w:rPr>
          <w:i/>
          <w:iCs/>
        </w:rPr>
        <w:t>p</w:t>
      </w:r>
      <w:r>
        <w:t xml:space="preserve"> and </w:t>
      </w:r>
      <w:r>
        <w:rPr>
          <w:i/>
          <w:iCs/>
        </w:rPr>
        <w:t>q</w:t>
      </w:r>
      <w:r>
        <w:t xml:space="preserve">. In our project we used in-sample </w:t>
      </w:r>
      <w:r>
        <w:rPr>
          <w:b/>
          <w:bCs/>
        </w:rPr>
        <w:t>MSE</w:t>
      </w:r>
      <w:r>
        <w:t xml:space="preserve"> and </w:t>
      </w:r>
      <w:r>
        <w:rPr>
          <w:b/>
          <w:bCs/>
        </w:rPr>
        <w:t>AIC/BIC</w:t>
      </w:r>
      <w:r>
        <w:t xml:space="preserve"> to choose AR and ARX/ARMAX orders, and </w:t>
      </w:r>
      <w:r>
        <w:rPr>
          <w:b/>
          <w:bCs/>
        </w:rPr>
        <w:t>out-of-sample MSE</w:t>
      </w:r>
      <w:r>
        <w:t xml:space="preserve"> (with a short-term, one-step-ahead rolling refit) to compare AR vs ARX vs ARMAX.</w:t>
      </w:r>
    </w:p>
    <w:p w14:paraId="7F6DD5BE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</w:t>
      </w:r>
      <w:r>
        <w:rPr>
          <w:b/>
          <w:bCs/>
        </w:rPr>
        <w:t>MSE, RMSE, MAE</w:t>
      </w:r>
      <w:r>
        <w:t xml:space="preserve"> for accuracy; </w:t>
      </w:r>
      <w:r>
        <w:rPr>
          <w:b/>
          <w:bCs/>
        </w:rPr>
        <w:t>AIC and BIC</w:t>
      </w:r>
      <w:r>
        <w:t xml:space="preserve"> for model and order selection. We used both in-sample (AIC/BIC, MSE) and out-of-sample MSE to compare models.</w:t>
      </w:r>
    </w:p>
    <w:p w14:paraId="33ADC925" w14:textId="77777777" w:rsidR="00BF6E80" w:rsidRDefault="00BD7125">
      <w:r>
        <w:rPr>
          <w:noProof/>
        </w:rPr>
        <w:pict w14:anchorId="6D5F7A18">
          <v:rect id="_x0000_i1028" alt="" style="width:468pt;height:.05pt;mso-width-percent:0;mso-height-percent:0;mso-width-percent:0;mso-height-percent:0" o:hralign="center" o:hrstd="t" o:hr="t"/>
        </w:pict>
      </w:r>
    </w:p>
    <w:p w14:paraId="2D0A524E" w14:textId="77777777" w:rsidR="00BF6E80" w:rsidRDefault="00000000">
      <w:pPr>
        <w:pStyle w:val="Heading2"/>
      </w:pPr>
      <w:bookmarkStart w:id="5" w:name="exogenous-inputs-arx-vs-ar-only"/>
      <w:bookmarkEnd w:id="4"/>
      <w:r>
        <w:t>5. Exogenous inputs (ARX vs AR only)</w:t>
      </w:r>
    </w:p>
    <w:p w14:paraId="00044737" w14:textId="77777777" w:rsidR="00BF6E80" w:rsidRDefault="00000000">
      <w:pPr>
        <w:pStyle w:val="FirstParagraph"/>
      </w:pPr>
      <w:r>
        <w:t xml:space="preserve">We compared </w:t>
      </w:r>
      <w:r>
        <w:rPr>
          <w:b/>
          <w:bCs/>
        </w:rPr>
        <w:t>AR(p)</w:t>
      </w:r>
      <w:r>
        <w:t xml:space="preserve"> with </w:t>
      </w:r>
      <w:r>
        <w:rPr>
          <w:b/>
          <w:bCs/>
        </w:rPr>
        <w:t>ARX(p)</w:t>
      </w:r>
      <w:r>
        <w:t xml:space="preserve"> and </w:t>
      </w:r>
      <w:r>
        <w:rPr>
          <w:b/>
          <w:bCs/>
        </w:rPr>
        <w:t>ARMAX(p,q)</w:t>
      </w:r>
      <w:r>
        <w:t xml:space="preserve"> using the 30-year mortgage rate as the exogenous variable, on both in-sample and </w:t>
      </w:r>
      <w:r>
        <w:rPr>
          <w:b/>
          <w:bCs/>
        </w:rPr>
        <w:t>out-of-sample MSE</w:t>
      </w:r>
      <w:r>
        <w:t xml:space="preserve"> with short-term prediction. </w:t>
      </w:r>
      <w:r>
        <w:lastRenderedPageBreak/>
        <w:t>ARX gave similar or slightly better test MSE than AR in our runs. ARX can help when the interest rate actually drives part of house price variation (credit channel); it can add little when the relationship is weak or when the rate is already captured by recent price lags. Our takeaway: we’d still use ARX when the interest rate is available and interpretable, given our correlation result and the comparison we did.</w:t>
      </w:r>
    </w:p>
    <w:p w14:paraId="3F2CCA65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</w:t>
      </w:r>
      <w:r>
        <w:rPr>
          <w:b/>
          <w:bCs/>
        </w:rPr>
        <w:t>ARX with the interest rate</w:t>
      </w:r>
      <w:r>
        <w:t xml:space="preserve"> gave similar or slightly better </w:t>
      </w:r>
      <w:r>
        <w:rPr>
          <w:b/>
          <w:bCs/>
        </w:rPr>
        <w:t>out-of-sample MSE</w:t>
      </w:r>
      <w:r>
        <w:t xml:space="preserve"> than AR. We’d use ARX when the exogenous variable is available and interpretable.</w:t>
      </w:r>
    </w:p>
    <w:p w14:paraId="345D4E20" w14:textId="77777777" w:rsidR="00BF6E80" w:rsidRDefault="00BD7125">
      <w:r>
        <w:rPr>
          <w:noProof/>
        </w:rPr>
        <w:pict w14:anchorId="45D69F43">
          <v:rect id="_x0000_i1027" alt="" style="width:468pt;height:.05pt;mso-width-percent:0;mso-height-percent:0;mso-width-percent:0;mso-height-percent:0" o:hralign="center" o:hrstd="t" o:hr="t"/>
        </w:pict>
      </w:r>
    </w:p>
    <w:p w14:paraId="7A8AE342" w14:textId="77777777" w:rsidR="00BF6E80" w:rsidRDefault="00000000">
      <w:pPr>
        <w:pStyle w:val="Heading2"/>
      </w:pPr>
      <w:bookmarkStart w:id="6" w:name="error-sources"/>
      <w:bookmarkEnd w:id="5"/>
      <w:r>
        <w:t>6. Error sources</w:t>
      </w:r>
    </w:p>
    <w:p w14:paraId="3D3D5FAD" w14:textId="77777777" w:rsidR="00BF6E80" w:rsidRDefault="00000000">
      <w:pPr>
        <w:pStyle w:val="FirstParagraph"/>
      </w:pPr>
      <w:r>
        <w:t xml:space="preserve">Main sources of error: </w:t>
      </w:r>
      <w:r>
        <w:rPr>
          <w:b/>
          <w:bCs/>
        </w:rPr>
        <w:t>data</w:t>
      </w:r>
      <w:r>
        <w:t xml:space="preserve"> (measurement or definition changes in Zillow, missing values, alignment of the resampled interest rate); </w:t>
      </w:r>
      <w:r>
        <w:rPr>
          <w:b/>
          <w:bCs/>
        </w:rPr>
        <w:t>trend</w:t>
      </w:r>
      <w:r>
        <w:t xml:space="preserve"> (wrong trend specification or detrended series not fully stationary); </w:t>
      </w:r>
      <w:r>
        <w:rPr>
          <w:b/>
          <w:bCs/>
        </w:rPr>
        <w:t>model</w:t>
      </w:r>
      <w:r>
        <w:t xml:space="preserve"> (wrong order </w:t>
      </w:r>
      <w:r>
        <w:rPr>
          <w:i/>
          <w:iCs/>
        </w:rPr>
        <w:t>p</w:t>
      </w:r>
      <w:r>
        <w:t xml:space="preserve">, </w:t>
      </w:r>
      <w:r>
        <w:rPr>
          <w:i/>
          <w:iCs/>
        </w:rPr>
        <w:t>q</w:t>
      </w:r>
      <w:r>
        <w:t xml:space="preserve">, or linear/constant-coefficient assumption, structural breaks); </w:t>
      </w:r>
      <w:r>
        <w:rPr>
          <w:b/>
          <w:bCs/>
        </w:rPr>
        <w:t>exogenous variable</w:t>
      </w:r>
      <w:r>
        <w:t xml:space="preserve"> (endogeneity, measurement error, or wrong lag structure); and </w:t>
      </w:r>
      <w:r>
        <w:rPr>
          <w:b/>
          <w:bCs/>
        </w:rPr>
        <w:t>evaluation</w:t>
      </w:r>
      <w:r>
        <w:t xml:space="preserve"> (single train/test split, short test period, MSE sensitive to scale and outliers).</w:t>
      </w:r>
    </w:p>
    <w:p w14:paraId="768C3DB2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Biggest risks: </w:t>
      </w:r>
      <w:r>
        <w:rPr>
          <w:b/>
          <w:bCs/>
        </w:rPr>
        <w:t>wrong trend or stationarity</w:t>
      </w:r>
      <w:r>
        <w:t xml:space="preserve">, </w:t>
      </w:r>
      <w:r>
        <w:rPr>
          <w:b/>
          <w:bCs/>
        </w:rPr>
        <w:t>wrong model order</w:t>
      </w:r>
      <w:r>
        <w:t xml:space="preserve">, and </w:t>
      </w:r>
      <w:r>
        <w:rPr>
          <w:b/>
          <w:bCs/>
        </w:rPr>
        <w:t>evaluation on a single short test period</w:t>
      </w:r>
      <w:r>
        <w:t>.</w:t>
      </w:r>
    </w:p>
    <w:p w14:paraId="7D27CB4C" w14:textId="77777777" w:rsidR="00BF6E80" w:rsidRDefault="00BD7125">
      <w:r>
        <w:rPr>
          <w:noProof/>
        </w:rPr>
        <w:pict w14:anchorId="4344CB53">
          <v:rect id="_x0000_i1026" alt="" style="width:468pt;height:.05pt;mso-width-percent:0;mso-height-percent:0;mso-width-percent:0;mso-height-percent:0" o:hralign="center" o:hrstd="t" o:hr="t"/>
        </w:pict>
      </w:r>
    </w:p>
    <w:p w14:paraId="7AAF298D" w14:textId="77777777" w:rsidR="00BF6E80" w:rsidRDefault="00000000">
      <w:pPr>
        <w:pStyle w:val="Heading2"/>
      </w:pPr>
      <w:bookmarkStart w:id="7" w:name="future-prediction-how-far-ahead"/>
      <w:bookmarkEnd w:id="6"/>
      <w:r>
        <w:t>7. Future prediction (how far ahead?)</w:t>
      </w:r>
    </w:p>
    <w:p w14:paraId="2CDA0BAC" w14:textId="77777777" w:rsidR="00BF6E80" w:rsidRDefault="00000000">
      <w:pPr>
        <w:pStyle w:val="FirstParagraph"/>
      </w:pPr>
      <w:r>
        <w:t xml:space="preserve">Based on this housing dataset and our models, we’d be comfortable predicting only </w:t>
      </w:r>
      <w:r>
        <w:rPr>
          <w:b/>
          <w:bCs/>
        </w:rPr>
        <w:t>a few months to about a year</w:t>
      </w:r>
      <w:r>
        <w:t xml:space="preserve"> ahead. Short-term one-step-ahead MSE was reasonable, but long-term multi-step forecasts without updating deteriorated quickly. Housing is affected by policy, credit shocks, and macro events that a simple AR/ARMAX doesn’t capture, and the further we extrapolate, the more trend and parameter uncertainty matter. We’d re-evaluate after a structural break (e.g. post-COVID) or in a different market; adding more exogenous variables or a regime-switching model might extend the plausible horizon.</w:t>
      </w:r>
    </w:p>
    <w:p w14:paraId="43FE8C4B" w14:textId="77777777" w:rsidR="00BF6E80" w:rsidRDefault="00000000">
      <w:pPr>
        <w:pStyle w:val="BlockText"/>
      </w:pPr>
      <w:r>
        <w:rPr>
          <w:b/>
          <w:bCs/>
        </w:rPr>
        <w:t>Highlight:</w:t>
      </w:r>
      <w:r>
        <w:t xml:space="preserve"> We’d only be comfortable predicting </w:t>
      </w:r>
      <w:r>
        <w:rPr>
          <w:b/>
          <w:bCs/>
        </w:rPr>
        <w:t>a few months to about a year</w:t>
      </w:r>
      <w:r>
        <w:t xml:space="preserve"> ahead; beyond that, forecasts degrade and structural factors dominate.</w:t>
      </w:r>
    </w:p>
    <w:p w14:paraId="1758E5AD" w14:textId="77777777" w:rsidR="00BF6E80" w:rsidRDefault="00BD7125">
      <w:r>
        <w:rPr>
          <w:noProof/>
        </w:rPr>
        <w:pict w14:anchorId="438B1069">
          <v:rect id="_x0000_i1025" alt="" style="width:468pt;height:.05pt;mso-width-percent:0;mso-height-percent:0;mso-width-percent:0;mso-height-percent:0" o:hralign="center" o:hrstd="t" o:hr="t"/>
        </w:pict>
      </w:r>
    </w:p>
    <w:p w14:paraId="486FDBD0" w14:textId="77777777" w:rsidR="00BF6E80" w:rsidRDefault="00000000">
      <w:pPr>
        <w:pStyle w:val="Heading2"/>
      </w:pPr>
      <w:bookmarkStart w:id="8" w:name="quick-reference-and-things-to-mention"/>
      <w:bookmarkEnd w:id="7"/>
      <w:r>
        <w:t>Quick reference and things to mention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43"/>
        <w:gridCol w:w="5633"/>
      </w:tblGrid>
      <w:tr w:rsidR="00BF6E80" w14:paraId="550A069C" w14:textId="77777777" w:rsidTr="00BF6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</w:tcPr>
          <w:p w14:paraId="06509CB9" w14:textId="77777777" w:rsidR="00BF6E80" w:rsidRDefault="00000000">
            <w:pPr>
              <w:pStyle w:val="Compact"/>
            </w:pPr>
            <w:r>
              <w:t>Topic</w:t>
            </w:r>
          </w:p>
        </w:tc>
        <w:tc>
          <w:tcPr>
            <w:tcW w:w="4658" w:type="dxa"/>
          </w:tcPr>
          <w:p w14:paraId="5D9916BC" w14:textId="486D258D" w:rsidR="00BF6E80" w:rsidRDefault="002D117F">
            <w:pPr>
              <w:pStyle w:val="Compact"/>
            </w:pPr>
            <w:r>
              <w:t>Key point</w:t>
            </w:r>
          </w:p>
        </w:tc>
      </w:tr>
      <w:tr w:rsidR="00BF6E80" w14:paraId="4C49FEF9" w14:textId="77777777">
        <w:tc>
          <w:tcPr>
            <w:tcW w:w="3261" w:type="dxa"/>
          </w:tcPr>
          <w:p w14:paraId="7CAC601E" w14:textId="77777777" w:rsidR="00BF6E80" w:rsidRDefault="00000000">
            <w:pPr>
              <w:pStyle w:val="Compact"/>
            </w:pPr>
            <w:r>
              <w:t>Stationarity</w:t>
            </w:r>
          </w:p>
        </w:tc>
        <w:tc>
          <w:tcPr>
            <w:tcW w:w="4658" w:type="dxa"/>
          </w:tcPr>
          <w:p w14:paraId="7BF049BE" w14:textId="77777777" w:rsidR="00BF6E80" w:rsidRDefault="00000000">
            <w:pPr>
              <w:pStyle w:val="Compact"/>
            </w:pPr>
            <w:r>
              <w:t xml:space="preserve">We </w:t>
            </w:r>
            <w:r>
              <w:rPr>
                <w:b/>
                <w:bCs/>
              </w:rPr>
              <w:t>tested</w:t>
            </w:r>
            <w:r>
              <w:t xml:space="preserve"> with ADF, didn’t assume; raw series non-stationary, detrended then re-tested.</w:t>
            </w:r>
          </w:p>
        </w:tc>
      </w:tr>
      <w:tr w:rsidR="00BF6E80" w14:paraId="734C0EA6" w14:textId="77777777">
        <w:tc>
          <w:tcPr>
            <w:tcW w:w="3261" w:type="dxa"/>
          </w:tcPr>
          <w:p w14:paraId="4DC78786" w14:textId="77777777" w:rsidR="00BF6E80" w:rsidRDefault="00000000">
            <w:pPr>
              <w:pStyle w:val="Compact"/>
            </w:pPr>
            <w:r>
              <w:t>Credit link</w:t>
            </w:r>
          </w:p>
        </w:tc>
        <w:tc>
          <w:tcPr>
            <w:tcW w:w="4658" w:type="dxa"/>
          </w:tcPr>
          <w:p w14:paraId="7AA6FD30" w14:textId="77777777" w:rsidR="00BF6E80" w:rsidRDefault="00000000">
            <w:pPr>
              <w:pStyle w:val="Compact"/>
            </w:pPr>
            <w:r>
              <w:rPr>
                <w:b/>
                <w:bCs/>
              </w:rPr>
              <w:t>corr(Δ price, rate) = −0.40, p ≈ 0</w:t>
            </w:r>
            <w:r>
              <w:t xml:space="preserve"> — significant; level of rate matters.</w:t>
            </w:r>
          </w:p>
        </w:tc>
      </w:tr>
      <w:tr w:rsidR="00BF6E80" w14:paraId="0F3D0A20" w14:textId="77777777">
        <w:tc>
          <w:tcPr>
            <w:tcW w:w="3261" w:type="dxa"/>
          </w:tcPr>
          <w:p w14:paraId="47DAEC04" w14:textId="77777777" w:rsidR="00BF6E80" w:rsidRDefault="00000000">
            <w:pPr>
              <w:pStyle w:val="Compact"/>
            </w:pPr>
            <w:r>
              <w:lastRenderedPageBreak/>
              <w:t>Trend</w:t>
            </w:r>
          </w:p>
        </w:tc>
        <w:tc>
          <w:tcPr>
            <w:tcW w:w="4658" w:type="dxa"/>
          </w:tcPr>
          <w:p w14:paraId="349D3D14" w14:textId="77777777" w:rsidR="00BF6E80" w:rsidRDefault="00000000">
            <w:pPr>
              <w:pStyle w:val="Compact"/>
            </w:pPr>
            <w:r>
              <w:t>OLS linear detrend, validated with ADF on residuals.</w:t>
            </w:r>
          </w:p>
        </w:tc>
      </w:tr>
      <w:tr w:rsidR="00BF6E80" w14:paraId="2D29E3D3" w14:textId="77777777">
        <w:tc>
          <w:tcPr>
            <w:tcW w:w="3261" w:type="dxa"/>
          </w:tcPr>
          <w:p w14:paraId="33BA29A5" w14:textId="77777777" w:rsidR="00BF6E80" w:rsidRDefault="00000000">
            <w:pPr>
              <w:pStyle w:val="Compact"/>
            </w:pPr>
            <w:r>
              <w:t>Generalization</w:t>
            </w:r>
          </w:p>
        </w:tc>
        <w:tc>
          <w:tcPr>
            <w:tcW w:w="4658" w:type="dxa"/>
          </w:tcPr>
          <w:p w14:paraId="07DC6561" w14:textId="77777777" w:rsidR="00BF6E80" w:rsidRDefault="00000000">
            <w:pPr>
              <w:pStyle w:val="Compact"/>
            </w:pPr>
            <w:r>
              <w:t xml:space="preserve">Plot → </w:t>
            </w:r>
            <w:r>
              <w:rPr>
                <w:b/>
                <w:bCs/>
              </w:rPr>
              <w:t>ADF</w:t>
            </w:r>
            <w:r>
              <w:t xml:space="preserve"> → cross-correlation / </w:t>
            </w:r>
            <w:r>
              <w:rPr>
                <w:b/>
                <w:bCs/>
              </w:rPr>
              <w:t>test significance of lags</w:t>
            </w:r>
            <w:r>
              <w:t xml:space="preserve"> → AR/ARMA or ARX/ARMAX → </w:t>
            </w:r>
            <w:r>
              <w:rPr>
                <w:b/>
                <w:bCs/>
              </w:rPr>
              <w:t>AIC/BIC</w:t>
            </w:r>
            <w:r>
              <w:t xml:space="preserve"> and out-of-sample MSE.</w:t>
            </w:r>
          </w:p>
        </w:tc>
      </w:tr>
      <w:tr w:rsidR="00BF6E80" w14:paraId="48317D69" w14:textId="77777777">
        <w:tc>
          <w:tcPr>
            <w:tcW w:w="3261" w:type="dxa"/>
          </w:tcPr>
          <w:p w14:paraId="3B15E839" w14:textId="77777777" w:rsidR="00BF6E80" w:rsidRDefault="00000000">
            <w:pPr>
              <w:pStyle w:val="Compact"/>
            </w:pPr>
            <w:r>
              <w:t>Metrics</w:t>
            </w:r>
          </w:p>
        </w:tc>
        <w:tc>
          <w:tcPr>
            <w:tcW w:w="4658" w:type="dxa"/>
          </w:tcPr>
          <w:p w14:paraId="527AB2FD" w14:textId="77777777" w:rsidR="00BF6E80" w:rsidRDefault="00000000">
            <w:pPr>
              <w:pStyle w:val="Compact"/>
            </w:pPr>
            <w:r>
              <w:rPr>
                <w:b/>
                <w:bCs/>
              </w:rPr>
              <w:t>MSE, RMSE, MAE</w:t>
            </w:r>
            <w:r>
              <w:t xml:space="preserve"> for accuracy; </w:t>
            </w:r>
            <w:r>
              <w:rPr>
                <w:b/>
                <w:bCs/>
              </w:rPr>
              <w:t>AIC, BIC</w:t>
            </w:r>
            <w:r>
              <w:t xml:space="preserve"> for model selection.</w:t>
            </w:r>
          </w:p>
        </w:tc>
      </w:tr>
      <w:tr w:rsidR="00BF6E80" w14:paraId="036FDABB" w14:textId="77777777">
        <w:tc>
          <w:tcPr>
            <w:tcW w:w="3261" w:type="dxa"/>
          </w:tcPr>
          <w:p w14:paraId="2DA4F565" w14:textId="77777777" w:rsidR="00BF6E80" w:rsidRDefault="00000000">
            <w:pPr>
              <w:pStyle w:val="Compact"/>
            </w:pPr>
            <w:r>
              <w:t>ARX vs AR</w:t>
            </w:r>
          </w:p>
        </w:tc>
        <w:tc>
          <w:tcPr>
            <w:tcW w:w="4658" w:type="dxa"/>
          </w:tcPr>
          <w:p w14:paraId="2C66EBC6" w14:textId="77777777" w:rsidR="00BF6E80" w:rsidRDefault="00000000">
            <w:pPr>
              <w:pStyle w:val="Compact"/>
            </w:pPr>
            <w:r>
              <w:t xml:space="preserve">ARX gave similar or slightly better </w:t>
            </w:r>
            <w:r>
              <w:rPr>
                <w:b/>
                <w:bCs/>
              </w:rPr>
              <w:t>test MSE</w:t>
            </w:r>
            <w:r>
              <w:t>; we’d use it when rate is available.</w:t>
            </w:r>
          </w:p>
        </w:tc>
      </w:tr>
      <w:tr w:rsidR="00BF6E80" w14:paraId="6283A05A" w14:textId="77777777">
        <w:tc>
          <w:tcPr>
            <w:tcW w:w="3261" w:type="dxa"/>
          </w:tcPr>
          <w:p w14:paraId="7526FC91" w14:textId="77777777" w:rsidR="00BF6E80" w:rsidRDefault="00000000">
            <w:pPr>
              <w:pStyle w:val="Compact"/>
            </w:pPr>
            <w:r>
              <w:t>Horizon</w:t>
            </w:r>
          </w:p>
        </w:tc>
        <w:tc>
          <w:tcPr>
            <w:tcW w:w="4658" w:type="dxa"/>
          </w:tcPr>
          <w:p w14:paraId="73B42F33" w14:textId="77777777" w:rsidR="00BF6E80" w:rsidRDefault="00000000">
            <w:pPr>
              <w:pStyle w:val="Compact"/>
            </w:pPr>
            <w:r>
              <w:t xml:space="preserve">Comfortable only </w:t>
            </w:r>
            <w:r>
              <w:rPr>
                <w:b/>
                <w:bCs/>
              </w:rPr>
              <w:t>a few months to about a year</w:t>
            </w:r>
            <w:r>
              <w:t xml:space="preserve"> ahead.</w:t>
            </w:r>
          </w:p>
        </w:tc>
      </w:tr>
      <w:bookmarkEnd w:id="0"/>
      <w:bookmarkEnd w:id="8"/>
    </w:tbl>
    <w:p w14:paraId="6EAB7B07" w14:textId="77777777" w:rsidR="00BD7125" w:rsidRDefault="00BD7125"/>
    <w:sectPr w:rsidR="00BD71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145E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3542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E80"/>
    <w:rsid w:val="002D117F"/>
    <w:rsid w:val="007B72ED"/>
    <w:rsid w:val="008703D8"/>
    <w:rsid w:val="00BD7125"/>
    <w:rsid w:val="00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C153"/>
  <w15:docId w15:val="{1F2B5398-DEFA-BF40-935A-3B6BCF8F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Nikhilesh Belulkar</cp:lastModifiedBy>
  <cp:revision>3</cp:revision>
  <dcterms:created xsi:type="dcterms:W3CDTF">2026-03-19T01:18:00Z</dcterms:created>
  <dcterms:modified xsi:type="dcterms:W3CDTF">2026-03-19T01:20:00Z</dcterms:modified>
</cp:coreProperties>
</file>